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49A" w:rsidRPr="00CB449A" w:rsidRDefault="00CB449A" w:rsidP="00673E12">
      <w:pPr>
        <w:spacing w:line="360" w:lineRule="auto"/>
        <w:jc w:val="both"/>
        <w:rPr>
          <w:rFonts w:ascii="Times New Roman" w:hAnsi="Times New Roman" w:cs="Times New Roman"/>
          <w:sz w:val="24"/>
          <w:szCs w:val="24"/>
          <w:u w:val="single"/>
        </w:rPr>
      </w:pPr>
      <w:bookmarkStart w:id="0" w:name="_GoBack"/>
      <w:bookmarkEnd w:id="0"/>
      <w:r w:rsidRPr="00CB449A">
        <w:rPr>
          <w:rFonts w:ascii="Times New Roman" w:hAnsi="Times New Roman" w:cs="Times New Roman"/>
          <w:sz w:val="24"/>
          <w:szCs w:val="24"/>
          <w:u w:val="single"/>
        </w:rPr>
        <w:t>Статья опубликована в электронном научном журнале «Современные проблемы науки и образования», Москва, 2015 год, № 1.</w:t>
      </w:r>
    </w:p>
    <w:p w:rsidR="00A645C0" w:rsidRPr="003970EC" w:rsidRDefault="00A645C0" w:rsidP="00673E12">
      <w:pPr>
        <w:spacing w:line="360" w:lineRule="auto"/>
        <w:jc w:val="both"/>
        <w:rPr>
          <w:rFonts w:ascii="Times New Roman" w:hAnsi="Times New Roman" w:cs="Times New Roman"/>
          <w:sz w:val="24"/>
          <w:szCs w:val="24"/>
        </w:rPr>
      </w:pPr>
      <w:r w:rsidRPr="003970EC">
        <w:rPr>
          <w:rFonts w:ascii="Times New Roman" w:hAnsi="Times New Roman" w:cs="Times New Roman"/>
          <w:sz w:val="24"/>
          <w:szCs w:val="24"/>
        </w:rPr>
        <w:t xml:space="preserve">УДК </w:t>
      </w:r>
      <w:r w:rsidR="00EA7779">
        <w:rPr>
          <w:rFonts w:ascii="Times New Roman" w:hAnsi="Times New Roman" w:cs="Times New Roman"/>
          <w:sz w:val="24"/>
          <w:szCs w:val="24"/>
        </w:rPr>
        <w:t xml:space="preserve">615. 83:631,835]. 03:616.311.2-002 </w:t>
      </w:r>
      <w:r w:rsidR="00EA7779">
        <w:rPr>
          <w:rFonts w:ascii="Times New Roman" w:hAnsi="Times New Roman" w:cs="Times New Roman"/>
          <w:sz w:val="24"/>
          <w:szCs w:val="24"/>
        </w:rPr>
        <w:sym w:font="Symbol" w:char="F05D"/>
      </w:r>
      <w:r w:rsidR="00EA7779">
        <w:rPr>
          <w:rFonts w:ascii="Times New Roman" w:hAnsi="Times New Roman" w:cs="Times New Roman"/>
          <w:sz w:val="24"/>
          <w:szCs w:val="24"/>
        </w:rPr>
        <w:t xml:space="preserve">. 015.4 </w:t>
      </w:r>
    </w:p>
    <w:p w:rsidR="00034736" w:rsidRPr="003970EC" w:rsidRDefault="00574B41" w:rsidP="007F2CE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ОЦЕНКА ВЛИЯНИЯ СИЛЬВИНИТОТЕРАПИИ НА ФИЗИКО-ХИМИЧЕСКИЕ И БИОХИМИЧЕСКИЕ ПАРАМЕТРЫ СЛЮНЫ У ПАЦИЕНТОВ С ХРОНИЧЕСКИМ ГЕНЕРАЛИЗОВАННЫМ КАТАРАЛЬНЫМ ГИНГИВИТОМ</w:t>
      </w:r>
      <w:r w:rsidR="00034736" w:rsidRPr="003970EC">
        <w:rPr>
          <w:rFonts w:ascii="Times New Roman" w:hAnsi="Times New Roman" w:cs="Times New Roman"/>
          <w:b/>
          <w:bCs/>
          <w:sz w:val="24"/>
          <w:szCs w:val="24"/>
        </w:rPr>
        <w:t xml:space="preserve"> </w:t>
      </w:r>
    </w:p>
    <w:p w:rsidR="00673E12" w:rsidRPr="003970EC" w:rsidRDefault="00673E12" w:rsidP="00574B41">
      <w:pPr>
        <w:spacing w:after="0" w:line="360" w:lineRule="auto"/>
        <w:jc w:val="both"/>
        <w:rPr>
          <w:rFonts w:ascii="Times New Roman" w:hAnsi="Times New Roman" w:cs="Times New Roman"/>
          <w:sz w:val="24"/>
          <w:szCs w:val="24"/>
        </w:rPr>
      </w:pPr>
      <w:r w:rsidRPr="003970EC">
        <w:rPr>
          <w:rFonts w:ascii="Times New Roman" w:hAnsi="Times New Roman" w:cs="Times New Roman"/>
          <w:sz w:val="24"/>
          <w:szCs w:val="24"/>
        </w:rPr>
        <w:t>Омарова Л.В.</w:t>
      </w:r>
      <w:r w:rsidRPr="003970EC">
        <w:rPr>
          <w:rFonts w:ascii="Times New Roman" w:hAnsi="Times New Roman" w:cs="Times New Roman"/>
          <w:sz w:val="24"/>
          <w:szCs w:val="24"/>
          <w:vertAlign w:val="superscript"/>
        </w:rPr>
        <w:t>1</w:t>
      </w:r>
      <w:r w:rsidRPr="003970EC">
        <w:rPr>
          <w:rFonts w:ascii="Times New Roman" w:hAnsi="Times New Roman" w:cs="Times New Roman"/>
          <w:sz w:val="24"/>
          <w:szCs w:val="24"/>
        </w:rPr>
        <w:t>, Леонова Л.Е.</w:t>
      </w:r>
      <w:r w:rsidRPr="00B36DB5">
        <w:rPr>
          <w:rFonts w:ascii="Times New Roman" w:hAnsi="Times New Roman" w:cs="Times New Roman"/>
          <w:sz w:val="24"/>
          <w:szCs w:val="24"/>
          <w:vertAlign w:val="superscript"/>
        </w:rPr>
        <w:t>1</w:t>
      </w:r>
      <w:r w:rsidRPr="003970EC">
        <w:rPr>
          <w:rFonts w:ascii="Times New Roman" w:hAnsi="Times New Roman" w:cs="Times New Roman"/>
          <w:sz w:val="24"/>
          <w:szCs w:val="24"/>
        </w:rPr>
        <w:t>, Павлова Г.А.</w:t>
      </w:r>
      <w:r w:rsidRPr="003970EC">
        <w:rPr>
          <w:rFonts w:ascii="Times New Roman" w:hAnsi="Times New Roman" w:cs="Times New Roman"/>
          <w:sz w:val="24"/>
          <w:szCs w:val="24"/>
          <w:vertAlign w:val="superscript"/>
        </w:rPr>
        <w:t>1</w:t>
      </w:r>
      <w:r w:rsidRPr="003970EC">
        <w:rPr>
          <w:rFonts w:ascii="Times New Roman" w:hAnsi="Times New Roman" w:cs="Times New Roman"/>
          <w:sz w:val="24"/>
          <w:szCs w:val="24"/>
        </w:rPr>
        <w:t>, Першина Р.Г.</w:t>
      </w:r>
      <w:r w:rsidRPr="003970EC">
        <w:rPr>
          <w:rFonts w:ascii="Times New Roman" w:hAnsi="Times New Roman" w:cs="Times New Roman"/>
          <w:sz w:val="24"/>
          <w:szCs w:val="24"/>
          <w:vertAlign w:val="superscript"/>
        </w:rPr>
        <w:t>1</w:t>
      </w:r>
      <w:r w:rsidRPr="003970EC">
        <w:rPr>
          <w:rFonts w:ascii="Times New Roman" w:hAnsi="Times New Roman" w:cs="Times New Roman"/>
          <w:sz w:val="24"/>
          <w:szCs w:val="24"/>
        </w:rPr>
        <w:t>, Варанкина С.А.</w:t>
      </w:r>
      <w:r w:rsidRPr="003970EC">
        <w:rPr>
          <w:rFonts w:ascii="Times New Roman" w:hAnsi="Times New Roman" w:cs="Times New Roman"/>
          <w:sz w:val="24"/>
          <w:szCs w:val="24"/>
          <w:vertAlign w:val="superscript"/>
        </w:rPr>
        <w:t>1</w:t>
      </w:r>
      <w:r w:rsidRPr="003970EC">
        <w:rPr>
          <w:rFonts w:ascii="Times New Roman" w:hAnsi="Times New Roman" w:cs="Times New Roman"/>
          <w:sz w:val="24"/>
          <w:szCs w:val="24"/>
        </w:rPr>
        <w:t>, Хохрякова В.П.</w:t>
      </w:r>
      <w:r w:rsidRPr="003970EC">
        <w:rPr>
          <w:rFonts w:ascii="Times New Roman" w:hAnsi="Times New Roman" w:cs="Times New Roman"/>
          <w:sz w:val="24"/>
          <w:szCs w:val="24"/>
          <w:vertAlign w:val="superscript"/>
        </w:rPr>
        <w:t>1</w:t>
      </w:r>
    </w:p>
    <w:p w:rsidR="00673E12" w:rsidRDefault="00673E12" w:rsidP="00574B41">
      <w:pPr>
        <w:spacing w:after="0" w:line="360" w:lineRule="auto"/>
        <w:jc w:val="both"/>
        <w:rPr>
          <w:rFonts w:ascii="Times New Roman" w:hAnsi="Times New Roman" w:cs="Times New Roman"/>
          <w:sz w:val="24"/>
          <w:szCs w:val="24"/>
        </w:rPr>
      </w:pPr>
      <w:r w:rsidRPr="003970EC">
        <w:rPr>
          <w:rFonts w:ascii="Times New Roman" w:hAnsi="Times New Roman" w:cs="Times New Roman"/>
          <w:sz w:val="24"/>
          <w:szCs w:val="24"/>
          <w:vertAlign w:val="superscript"/>
        </w:rPr>
        <w:t>1</w:t>
      </w:r>
      <w:r w:rsidRPr="003970EC">
        <w:rPr>
          <w:rFonts w:ascii="Times New Roman" w:hAnsi="Times New Roman" w:cs="Times New Roman"/>
          <w:sz w:val="24"/>
          <w:szCs w:val="24"/>
        </w:rPr>
        <w:t xml:space="preserve"> ГБОУ ВПО «Пермский государственный медицинский университет им. ак. Е.А. Вагнера Минздрава России», Пермь, Россия (614000, Пермь, ул. Петропавловская, 26), e-mail: </w:t>
      </w:r>
      <w:hyperlink r:id="rId5" w:history="1">
        <w:r w:rsidRPr="006F23A0">
          <w:rPr>
            <w:rStyle w:val="Hyperlink"/>
            <w:rFonts w:ascii="Times New Roman" w:hAnsi="Times New Roman"/>
            <w:sz w:val="24"/>
            <w:szCs w:val="24"/>
          </w:rPr>
          <w:t>29833611@rambler.ru</w:t>
        </w:r>
      </w:hyperlink>
      <w:r w:rsidRPr="003970EC">
        <w:rPr>
          <w:rFonts w:ascii="Times New Roman" w:hAnsi="Times New Roman" w:cs="Times New Roman"/>
          <w:sz w:val="24"/>
          <w:szCs w:val="24"/>
        </w:rPr>
        <w:t>.</w:t>
      </w:r>
    </w:p>
    <w:p w:rsidR="007F2CEA" w:rsidRPr="007F2CEA" w:rsidRDefault="007F2CEA" w:rsidP="00574B41">
      <w:pPr>
        <w:spacing w:after="0" w:line="360" w:lineRule="auto"/>
        <w:ind w:firstLine="709"/>
        <w:jc w:val="both"/>
        <w:rPr>
          <w:rFonts w:ascii="Times New Roman" w:hAnsi="Times New Roman" w:cs="Times New Roman"/>
          <w:b/>
          <w:bCs/>
          <w:sz w:val="24"/>
          <w:szCs w:val="24"/>
        </w:rPr>
      </w:pPr>
      <w:r w:rsidRPr="007F2CEA">
        <w:rPr>
          <w:rFonts w:ascii="Times New Roman" w:hAnsi="Times New Roman" w:cs="Times New Roman"/>
          <w:b/>
          <w:bCs/>
          <w:sz w:val="24"/>
          <w:szCs w:val="24"/>
        </w:rPr>
        <w:t>Аннотация</w:t>
      </w:r>
    </w:p>
    <w:p w:rsidR="007F2CEA" w:rsidRPr="007F2CEA" w:rsidRDefault="007F2CEA" w:rsidP="00574B41">
      <w:pPr>
        <w:spacing w:after="0" w:line="240" w:lineRule="auto"/>
        <w:ind w:firstLine="709"/>
        <w:jc w:val="both"/>
        <w:rPr>
          <w:rFonts w:ascii="Times New Roman" w:hAnsi="Times New Roman" w:cs="Times New Roman"/>
          <w:b/>
          <w:bCs/>
          <w:sz w:val="20"/>
          <w:szCs w:val="20"/>
        </w:rPr>
      </w:pPr>
      <w:r w:rsidRPr="007F2CEA">
        <w:rPr>
          <w:rFonts w:ascii="Times New Roman" w:hAnsi="Times New Roman" w:cs="Times New Roman"/>
          <w:b/>
          <w:bCs/>
          <w:sz w:val="20"/>
          <w:szCs w:val="20"/>
        </w:rPr>
        <w:t xml:space="preserve">Проведено комплексное обследование и лечение 50 пациентов в возрасте 20 – 25 лет с диагнозом хронический генерализованный катаральный гингивит (ХГКГ). В зависимости от методов лечения были сформированы: две группы.  Основная группа - 24 пациента, которым наряду с санацией полости рта и лечением гингивита проводили  курс сильвинитотерапии в течение 17дней, а также группа сравнения – 26 человек, которым не осуществляли минералотерапию. Гигиенические исследования и минералотерапию проводили в сильвинитовом физиотерапевтическом помещении. </w:t>
      </w:r>
    </w:p>
    <w:p w:rsidR="007F2CEA" w:rsidRPr="00EF124A" w:rsidRDefault="007F2CEA" w:rsidP="00574B41">
      <w:pPr>
        <w:spacing w:after="0" w:line="240" w:lineRule="auto"/>
        <w:ind w:firstLine="709"/>
        <w:jc w:val="both"/>
        <w:rPr>
          <w:rFonts w:ascii="Times New Roman" w:hAnsi="Times New Roman" w:cs="Times New Roman"/>
          <w:b/>
          <w:bCs/>
          <w:sz w:val="20"/>
          <w:szCs w:val="20"/>
        </w:rPr>
      </w:pPr>
      <w:r w:rsidRPr="007F2CEA">
        <w:rPr>
          <w:rFonts w:ascii="Times New Roman" w:hAnsi="Times New Roman" w:cs="Times New Roman"/>
          <w:b/>
          <w:bCs/>
          <w:sz w:val="20"/>
          <w:szCs w:val="20"/>
        </w:rPr>
        <w:t>Основными лечебными факторами, внутренней среды сильвинитовых сооружений, являются многокомпонентный высокодисперсный соляной аэрозоль и аэроионизация (легкие отрицательные аэроионы). Эффективность комплексного лечения с курсом сильвинитотерапии лиц молодого возраста с ХГКГ подтверждена существенным улучшением клинического состояния тканей маргинального пародонта,  достоверным  повышением скорости слюноотделения, нормализацией показателей  концентрации водородных ионов и минерализующей функции  слюны,  а также положительной динамикой биохимических  параметров  местного иммунитета полости рта.</w:t>
      </w:r>
    </w:p>
    <w:p w:rsidR="00F96B1C" w:rsidRPr="00EF124A" w:rsidRDefault="00F96B1C" w:rsidP="00574B41">
      <w:pPr>
        <w:spacing w:after="0" w:line="240" w:lineRule="auto"/>
        <w:ind w:firstLine="709"/>
        <w:jc w:val="both"/>
        <w:rPr>
          <w:rFonts w:ascii="Times New Roman" w:hAnsi="Times New Roman" w:cs="Times New Roman"/>
          <w:b/>
          <w:bCs/>
          <w:sz w:val="20"/>
          <w:szCs w:val="20"/>
        </w:rPr>
      </w:pPr>
    </w:p>
    <w:p w:rsidR="00A81E92" w:rsidRDefault="00F96B1C" w:rsidP="00BE3F46">
      <w:pPr>
        <w:spacing w:after="0" w:line="240" w:lineRule="auto"/>
        <w:ind w:firstLine="709"/>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ESTIMATION OF</w:t>
      </w:r>
      <w:r w:rsidR="00A81E92">
        <w:rPr>
          <w:rFonts w:ascii="Times New Roman" w:hAnsi="Times New Roman" w:cs="Times New Roman"/>
          <w:b/>
          <w:bCs/>
          <w:sz w:val="20"/>
          <w:szCs w:val="20"/>
          <w:lang w:val="en-US"/>
        </w:rPr>
        <w:t xml:space="preserve"> INFLUENCE OF SYLVINITE THERAPY ON FISICAL, CHEMICAL AND BIOCHEMICAL SALIVA PARAMETERS IN PATIENS WITH </w:t>
      </w:r>
      <w:r>
        <w:rPr>
          <w:rFonts w:ascii="Times New Roman" w:hAnsi="Times New Roman" w:cs="Times New Roman"/>
          <w:b/>
          <w:bCs/>
          <w:sz w:val="20"/>
          <w:szCs w:val="20"/>
          <w:lang w:val="en-US"/>
        </w:rPr>
        <w:t>CHRONIC GENERALIZED CATARRHAL GINGIVITIS</w:t>
      </w:r>
    </w:p>
    <w:p w:rsidR="00F96B1C" w:rsidRPr="00BE3F46" w:rsidRDefault="00F96B1C" w:rsidP="00BE3F46">
      <w:pPr>
        <w:spacing w:after="0" w:line="240" w:lineRule="auto"/>
        <w:rPr>
          <w:rFonts w:ascii="Times New Roman" w:hAnsi="Times New Roman" w:cs="Times New Roman"/>
          <w:b/>
          <w:bCs/>
          <w:sz w:val="20"/>
          <w:szCs w:val="20"/>
          <w:vertAlign w:val="superscript"/>
          <w:lang w:val="en-US"/>
        </w:rPr>
      </w:pPr>
      <w:r w:rsidRPr="00F96B1C">
        <w:rPr>
          <w:rFonts w:ascii="Times New Roman" w:hAnsi="Times New Roman" w:cs="Times New Roman"/>
          <w:b/>
          <w:bCs/>
          <w:sz w:val="20"/>
          <w:szCs w:val="20"/>
          <w:lang w:val="en-US"/>
        </w:rPr>
        <w:t>Omarova</w:t>
      </w:r>
      <w:r w:rsidR="00EF124A" w:rsidRPr="00EF124A">
        <w:rPr>
          <w:rFonts w:ascii="Times New Roman" w:hAnsi="Times New Roman" w:cs="Times New Roman"/>
          <w:b/>
          <w:bCs/>
          <w:sz w:val="20"/>
          <w:szCs w:val="20"/>
          <w:lang w:val="en-US"/>
        </w:rPr>
        <w:t xml:space="preserve"> </w:t>
      </w:r>
      <w:r w:rsidR="00EF124A" w:rsidRPr="00F96B1C">
        <w:rPr>
          <w:rFonts w:ascii="Times New Roman" w:hAnsi="Times New Roman" w:cs="Times New Roman"/>
          <w:b/>
          <w:bCs/>
          <w:sz w:val="20"/>
          <w:szCs w:val="20"/>
          <w:lang w:val="en-US"/>
        </w:rPr>
        <w:t>L.V.</w:t>
      </w:r>
      <w:r w:rsidR="00BE3F46">
        <w:rPr>
          <w:rFonts w:ascii="Times New Roman" w:hAnsi="Times New Roman" w:cs="Times New Roman"/>
          <w:b/>
          <w:bCs/>
          <w:sz w:val="20"/>
          <w:szCs w:val="20"/>
          <w:vertAlign w:val="superscript"/>
          <w:lang w:val="en-US"/>
        </w:rPr>
        <w:t>1</w:t>
      </w:r>
      <w:r w:rsidRPr="00F96B1C">
        <w:rPr>
          <w:rFonts w:ascii="Times New Roman" w:hAnsi="Times New Roman" w:cs="Times New Roman"/>
          <w:b/>
          <w:bCs/>
          <w:sz w:val="20"/>
          <w:szCs w:val="20"/>
          <w:lang w:val="en-US"/>
        </w:rPr>
        <w:t>, Leonova</w:t>
      </w:r>
      <w:r w:rsidR="00EF124A" w:rsidRPr="00EF124A">
        <w:rPr>
          <w:rFonts w:ascii="Times New Roman" w:hAnsi="Times New Roman" w:cs="Times New Roman"/>
          <w:b/>
          <w:bCs/>
          <w:sz w:val="20"/>
          <w:szCs w:val="20"/>
          <w:lang w:val="en-US"/>
        </w:rPr>
        <w:t xml:space="preserve"> </w:t>
      </w:r>
      <w:r w:rsidR="00EF124A" w:rsidRPr="00F96B1C">
        <w:rPr>
          <w:rFonts w:ascii="Times New Roman" w:hAnsi="Times New Roman" w:cs="Times New Roman"/>
          <w:b/>
          <w:bCs/>
          <w:sz w:val="20"/>
          <w:szCs w:val="20"/>
          <w:lang w:val="en-US"/>
        </w:rPr>
        <w:t>L.E.</w:t>
      </w:r>
      <w:r w:rsidR="00BE3F46">
        <w:rPr>
          <w:rFonts w:ascii="Times New Roman" w:hAnsi="Times New Roman" w:cs="Times New Roman"/>
          <w:b/>
          <w:bCs/>
          <w:sz w:val="20"/>
          <w:szCs w:val="20"/>
          <w:vertAlign w:val="superscript"/>
          <w:lang w:val="en-US"/>
        </w:rPr>
        <w:t>1</w:t>
      </w:r>
      <w:r w:rsidRPr="00F96B1C">
        <w:rPr>
          <w:rFonts w:ascii="Times New Roman" w:hAnsi="Times New Roman" w:cs="Times New Roman"/>
          <w:b/>
          <w:bCs/>
          <w:sz w:val="20"/>
          <w:szCs w:val="20"/>
          <w:lang w:val="en-US"/>
        </w:rPr>
        <w:t>, Pavlova</w:t>
      </w:r>
      <w:r w:rsidR="00EF124A" w:rsidRPr="00EF124A">
        <w:rPr>
          <w:rFonts w:ascii="Times New Roman" w:hAnsi="Times New Roman" w:cs="Times New Roman"/>
          <w:b/>
          <w:bCs/>
          <w:sz w:val="20"/>
          <w:szCs w:val="20"/>
          <w:lang w:val="en-US"/>
        </w:rPr>
        <w:t xml:space="preserve"> </w:t>
      </w:r>
      <w:r w:rsidR="00EF124A" w:rsidRPr="00F96B1C">
        <w:rPr>
          <w:rFonts w:ascii="Times New Roman" w:hAnsi="Times New Roman" w:cs="Times New Roman"/>
          <w:b/>
          <w:bCs/>
          <w:sz w:val="20"/>
          <w:szCs w:val="20"/>
          <w:lang w:val="en-US"/>
        </w:rPr>
        <w:t>G.A.</w:t>
      </w:r>
      <w:r w:rsidR="00BE3F46">
        <w:rPr>
          <w:rFonts w:ascii="Times New Roman" w:hAnsi="Times New Roman" w:cs="Times New Roman"/>
          <w:b/>
          <w:bCs/>
          <w:sz w:val="20"/>
          <w:szCs w:val="20"/>
          <w:vertAlign w:val="superscript"/>
          <w:lang w:val="en-US"/>
        </w:rPr>
        <w:t>1</w:t>
      </w:r>
      <w:r w:rsidRPr="00F96B1C">
        <w:rPr>
          <w:rFonts w:ascii="Times New Roman" w:hAnsi="Times New Roman" w:cs="Times New Roman"/>
          <w:b/>
          <w:bCs/>
          <w:sz w:val="20"/>
          <w:szCs w:val="20"/>
          <w:lang w:val="en-US"/>
        </w:rPr>
        <w:t xml:space="preserve">, </w:t>
      </w:r>
      <w:r w:rsidR="00EF124A">
        <w:rPr>
          <w:rFonts w:ascii="Times New Roman" w:hAnsi="Times New Roman" w:cs="Times New Roman"/>
          <w:b/>
          <w:bCs/>
          <w:sz w:val="20"/>
          <w:szCs w:val="20"/>
          <w:lang w:val="en-US"/>
        </w:rPr>
        <w:t>Pershina R</w:t>
      </w:r>
      <w:r w:rsidR="00EF124A" w:rsidRPr="00EF124A">
        <w:rPr>
          <w:rFonts w:ascii="Times New Roman" w:hAnsi="Times New Roman" w:cs="Times New Roman"/>
          <w:b/>
          <w:bCs/>
          <w:sz w:val="20"/>
          <w:szCs w:val="20"/>
          <w:lang w:val="en-US"/>
        </w:rPr>
        <w:t>.</w:t>
      </w:r>
      <w:r w:rsidR="00EF124A">
        <w:rPr>
          <w:rFonts w:ascii="Times New Roman" w:hAnsi="Times New Roman" w:cs="Times New Roman"/>
          <w:b/>
          <w:bCs/>
          <w:sz w:val="20"/>
          <w:szCs w:val="20"/>
          <w:lang w:val="en-US"/>
        </w:rPr>
        <w:t xml:space="preserve"> G</w:t>
      </w:r>
      <w:r w:rsidR="00EF124A" w:rsidRPr="00EF124A">
        <w:rPr>
          <w:rFonts w:ascii="Times New Roman" w:hAnsi="Times New Roman" w:cs="Times New Roman"/>
          <w:b/>
          <w:bCs/>
          <w:sz w:val="20"/>
          <w:szCs w:val="20"/>
          <w:lang w:val="en-US"/>
        </w:rPr>
        <w:t>.</w:t>
      </w:r>
      <w:r w:rsidR="00BE3F46">
        <w:rPr>
          <w:rFonts w:ascii="Times New Roman" w:hAnsi="Times New Roman" w:cs="Times New Roman"/>
          <w:b/>
          <w:bCs/>
          <w:sz w:val="20"/>
          <w:szCs w:val="20"/>
          <w:vertAlign w:val="superscript"/>
          <w:lang w:val="en-US"/>
        </w:rPr>
        <w:t>1</w:t>
      </w:r>
      <w:r w:rsidR="00EF124A" w:rsidRPr="00EF124A">
        <w:rPr>
          <w:rFonts w:ascii="Times New Roman" w:hAnsi="Times New Roman" w:cs="Times New Roman"/>
          <w:b/>
          <w:bCs/>
          <w:sz w:val="20"/>
          <w:szCs w:val="20"/>
          <w:lang w:val="en-US"/>
        </w:rPr>
        <w:t xml:space="preserve">, </w:t>
      </w:r>
      <w:r w:rsidRPr="00F96B1C">
        <w:rPr>
          <w:rFonts w:ascii="Times New Roman" w:hAnsi="Times New Roman" w:cs="Times New Roman"/>
          <w:b/>
          <w:bCs/>
          <w:sz w:val="20"/>
          <w:szCs w:val="20"/>
          <w:lang w:val="en-US"/>
        </w:rPr>
        <w:t>Varankina</w:t>
      </w:r>
      <w:r w:rsidR="00EF124A" w:rsidRPr="00EF124A">
        <w:rPr>
          <w:rFonts w:ascii="Times New Roman" w:hAnsi="Times New Roman" w:cs="Times New Roman"/>
          <w:b/>
          <w:bCs/>
          <w:sz w:val="20"/>
          <w:szCs w:val="20"/>
          <w:lang w:val="en-US"/>
        </w:rPr>
        <w:t xml:space="preserve"> </w:t>
      </w:r>
      <w:r w:rsidR="00EF124A" w:rsidRPr="00F96B1C">
        <w:rPr>
          <w:rFonts w:ascii="Times New Roman" w:hAnsi="Times New Roman" w:cs="Times New Roman"/>
          <w:b/>
          <w:bCs/>
          <w:sz w:val="20"/>
          <w:szCs w:val="20"/>
          <w:lang w:val="en-US"/>
        </w:rPr>
        <w:t>S.A.</w:t>
      </w:r>
      <w:r w:rsidR="00BE3F46">
        <w:rPr>
          <w:rFonts w:ascii="Times New Roman" w:hAnsi="Times New Roman" w:cs="Times New Roman"/>
          <w:b/>
          <w:bCs/>
          <w:sz w:val="20"/>
          <w:szCs w:val="20"/>
          <w:vertAlign w:val="superscript"/>
          <w:lang w:val="en-US"/>
        </w:rPr>
        <w:t>1</w:t>
      </w:r>
      <w:r w:rsidR="00EF124A" w:rsidRPr="00EF124A">
        <w:rPr>
          <w:rFonts w:ascii="Times New Roman" w:hAnsi="Times New Roman" w:cs="Times New Roman"/>
          <w:b/>
          <w:bCs/>
          <w:sz w:val="20"/>
          <w:szCs w:val="20"/>
          <w:lang w:val="en-US"/>
        </w:rPr>
        <w:t>,</w:t>
      </w:r>
      <w:r>
        <w:rPr>
          <w:rFonts w:ascii="Times New Roman" w:hAnsi="Times New Roman" w:cs="Times New Roman"/>
          <w:b/>
          <w:bCs/>
          <w:sz w:val="20"/>
          <w:szCs w:val="20"/>
          <w:lang w:val="en-US"/>
        </w:rPr>
        <w:t xml:space="preserve"> Khokhrjakova V</w:t>
      </w:r>
      <w:r w:rsidR="00EF124A" w:rsidRPr="00EF124A">
        <w:rPr>
          <w:rFonts w:ascii="Times New Roman" w:hAnsi="Times New Roman" w:cs="Times New Roman"/>
          <w:b/>
          <w:bCs/>
          <w:sz w:val="20"/>
          <w:szCs w:val="20"/>
          <w:lang w:val="en-US"/>
        </w:rPr>
        <w:t>.</w:t>
      </w:r>
      <w:r>
        <w:rPr>
          <w:rFonts w:ascii="Times New Roman" w:hAnsi="Times New Roman" w:cs="Times New Roman"/>
          <w:b/>
          <w:bCs/>
          <w:sz w:val="20"/>
          <w:szCs w:val="20"/>
          <w:lang w:val="en-US"/>
        </w:rPr>
        <w:t xml:space="preserve"> P</w:t>
      </w:r>
      <w:r w:rsidR="00EF124A" w:rsidRPr="00EF124A">
        <w:rPr>
          <w:rFonts w:ascii="Times New Roman" w:hAnsi="Times New Roman" w:cs="Times New Roman"/>
          <w:b/>
          <w:bCs/>
          <w:sz w:val="20"/>
          <w:szCs w:val="20"/>
          <w:lang w:val="en-US"/>
        </w:rPr>
        <w:t>.</w:t>
      </w:r>
      <w:r>
        <w:rPr>
          <w:rFonts w:ascii="Times New Roman" w:hAnsi="Times New Roman" w:cs="Times New Roman"/>
          <w:b/>
          <w:bCs/>
          <w:sz w:val="20"/>
          <w:szCs w:val="20"/>
          <w:lang w:val="en-US"/>
        </w:rPr>
        <w:t xml:space="preserve"> </w:t>
      </w:r>
      <w:r w:rsidR="00BE3F46">
        <w:rPr>
          <w:rFonts w:ascii="Times New Roman" w:hAnsi="Times New Roman" w:cs="Times New Roman"/>
          <w:b/>
          <w:bCs/>
          <w:sz w:val="20"/>
          <w:szCs w:val="20"/>
          <w:vertAlign w:val="superscript"/>
          <w:lang w:val="en-US"/>
        </w:rPr>
        <w:t>1</w:t>
      </w:r>
    </w:p>
    <w:p w:rsidR="00F96B1C" w:rsidRPr="00BE3F46" w:rsidRDefault="00BE3F46" w:rsidP="00BE3F46">
      <w:pPr>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vertAlign w:val="superscript"/>
          <w:lang w:val="en-US"/>
        </w:rPr>
        <w:t xml:space="preserve">1 </w:t>
      </w:r>
      <w:r w:rsidR="00EF124A">
        <w:rPr>
          <w:rFonts w:ascii="Times New Roman" w:hAnsi="Times New Roman" w:cs="Times New Roman"/>
          <w:b/>
          <w:bCs/>
          <w:sz w:val="20"/>
          <w:szCs w:val="20"/>
          <w:lang w:val="en-US"/>
        </w:rPr>
        <w:t xml:space="preserve">Perm State Medical University n.a. E.A. Vagnera, Perm, Russia (614000, Perm, street Petropavlovskay, 26) </w:t>
      </w:r>
      <w:r w:rsidR="00EF124A" w:rsidRPr="00BE3F46">
        <w:rPr>
          <w:rFonts w:ascii="Times New Roman" w:hAnsi="Times New Roman" w:cs="Times New Roman"/>
          <w:b/>
          <w:bCs/>
          <w:sz w:val="20"/>
          <w:szCs w:val="20"/>
          <w:lang w:val="en-US"/>
        </w:rPr>
        <w:t xml:space="preserve">e-mail: </w:t>
      </w:r>
      <w:hyperlink r:id="rId6" w:history="1">
        <w:r w:rsidR="00EF124A" w:rsidRPr="00BE3F46">
          <w:rPr>
            <w:rStyle w:val="Hyperlink"/>
            <w:rFonts w:ascii="Times New Roman" w:hAnsi="Times New Roman"/>
            <w:b/>
            <w:bCs/>
            <w:sz w:val="20"/>
            <w:szCs w:val="20"/>
            <w:lang w:val="en-US"/>
          </w:rPr>
          <w:t>29833611@rambler.ru</w:t>
        </w:r>
      </w:hyperlink>
      <w:r w:rsidR="00EF124A" w:rsidRPr="00BE3F46">
        <w:rPr>
          <w:rFonts w:ascii="Times New Roman" w:hAnsi="Times New Roman" w:cs="Times New Roman"/>
          <w:b/>
          <w:bCs/>
          <w:sz w:val="20"/>
          <w:szCs w:val="20"/>
          <w:lang w:val="en-US"/>
        </w:rPr>
        <w:t>.</w:t>
      </w:r>
    </w:p>
    <w:p w:rsidR="00A81E92" w:rsidRPr="00A81E92" w:rsidRDefault="00A81E92" w:rsidP="00A81E92">
      <w:pPr>
        <w:spacing w:after="0" w:line="240" w:lineRule="auto"/>
        <w:ind w:firstLine="709"/>
        <w:jc w:val="both"/>
        <w:rPr>
          <w:rFonts w:ascii="Times New Roman" w:hAnsi="Times New Roman" w:cs="Times New Roman"/>
          <w:sz w:val="20"/>
          <w:szCs w:val="20"/>
          <w:lang w:val="en-US"/>
        </w:rPr>
      </w:pPr>
      <w:r w:rsidRPr="00A81E92">
        <w:rPr>
          <w:rFonts w:ascii="Times New Roman" w:hAnsi="Times New Roman" w:cs="Times New Roman"/>
          <w:sz w:val="20"/>
          <w:szCs w:val="20"/>
          <w:lang w:val="en-US"/>
        </w:rPr>
        <w:t xml:space="preserve">Abstract: A comprehensive examination and treatment of 49 students aged 20-25 years diagnosed chronic generalized catarrhal gingivitis (CGCG)were held. Depending on the methods of treatment were created into two groups of observation. The main group comprised 24 patients who along with dental sanitation and treatment of gingivitis took the course of salt treatment for 17 days, as opposed to control group. Hygienic researches and mineraltherapy were held in a sylvinite therapeutic camber. </w:t>
      </w:r>
    </w:p>
    <w:p w:rsidR="00A81E92" w:rsidRPr="00A81E92" w:rsidRDefault="00A81E92" w:rsidP="00A81E92">
      <w:pPr>
        <w:spacing w:after="0" w:line="240" w:lineRule="auto"/>
        <w:ind w:firstLine="709"/>
        <w:jc w:val="both"/>
        <w:rPr>
          <w:rFonts w:ascii="Times New Roman" w:hAnsi="Times New Roman" w:cs="Times New Roman"/>
          <w:sz w:val="20"/>
          <w:szCs w:val="20"/>
          <w:lang w:val="en-US"/>
        </w:rPr>
      </w:pPr>
      <w:r w:rsidRPr="00A81E92">
        <w:rPr>
          <w:rFonts w:ascii="Times New Roman" w:hAnsi="Times New Roman" w:cs="Times New Roman"/>
          <w:sz w:val="20"/>
          <w:szCs w:val="20"/>
          <w:lang w:val="en-US"/>
        </w:rPr>
        <w:t>The major curative factors of sylvinite camber inner environment are multycomponent highly dispersed salt aerosol and airionisation (light negative ions). The study of the effecacy of a comprehensive treatment with sylvinite-therapy course of young patients with CGCG get an information of the positive impact of salt therapy on the clinical condition of marginal periodontal tissues, reliable increase of salivation speed, normalization of hydrogen ion concentration and mineralizing functions of saliva, positive dynamics of biochemical indeces of oral cavity local immunity.</w:t>
      </w:r>
    </w:p>
    <w:p w:rsidR="00A81E92" w:rsidRPr="00BE3F46" w:rsidRDefault="00A81E92" w:rsidP="00BE3F46">
      <w:pPr>
        <w:spacing w:after="0" w:line="240" w:lineRule="auto"/>
        <w:ind w:firstLine="709"/>
        <w:jc w:val="both"/>
        <w:rPr>
          <w:rFonts w:ascii="Times New Roman" w:hAnsi="Times New Roman" w:cs="Times New Roman"/>
          <w:sz w:val="20"/>
          <w:szCs w:val="20"/>
          <w:lang w:val="en-US"/>
        </w:rPr>
      </w:pPr>
      <w:r w:rsidRPr="00A81E92">
        <w:rPr>
          <w:rFonts w:ascii="Times New Roman" w:hAnsi="Times New Roman" w:cs="Times New Roman"/>
          <w:sz w:val="20"/>
          <w:szCs w:val="20"/>
          <w:lang w:val="en-US"/>
        </w:rPr>
        <w:t>Key words: sylvinite therapy, chronic generalized catarrhal gingivitis.</w:t>
      </w:r>
    </w:p>
    <w:p w:rsidR="007F2CEA" w:rsidRPr="003970EC" w:rsidRDefault="007F2CEA" w:rsidP="00574B41">
      <w:pPr>
        <w:spacing w:after="0" w:line="360" w:lineRule="auto"/>
        <w:ind w:firstLine="709"/>
        <w:jc w:val="both"/>
        <w:rPr>
          <w:rFonts w:ascii="Times New Roman" w:hAnsi="Times New Roman" w:cs="Times New Roman"/>
          <w:sz w:val="24"/>
          <w:szCs w:val="24"/>
        </w:rPr>
      </w:pPr>
      <w:r w:rsidRPr="00A81E92">
        <w:rPr>
          <w:rFonts w:ascii="Times New Roman" w:hAnsi="Times New Roman" w:cs="Times New Roman"/>
          <w:sz w:val="24"/>
          <w:szCs w:val="24"/>
        </w:rPr>
        <w:t>Ключевые слова:</w:t>
      </w:r>
      <w:r w:rsidRPr="003970EC">
        <w:rPr>
          <w:rFonts w:ascii="Times New Roman" w:hAnsi="Times New Roman" w:cs="Times New Roman"/>
          <w:sz w:val="24"/>
          <w:szCs w:val="24"/>
        </w:rPr>
        <w:t xml:space="preserve"> сильвинитотерапия, хронический генерализованный катаральный гингивит.</w:t>
      </w:r>
    </w:p>
    <w:p w:rsidR="00673E12" w:rsidRPr="00673E12" w:rsidRDefault="00673E12" w:rsidP="00574B41">
      <w:pPr>
        <w:spacing w:after="0" w:line="360" w:lineRule="auto"/>
        <w:rPr>
          <w:rFonts w:ascii="Times New Roman" w:hAnsi="Times New Roman" w:cs="Times New Roman"/>
          <w:b/>
          <w:bCs/>
          <w:sz w:val="24"/>
          <w:szCs w:val="24"/>
        </w:rPr>
      </w:pPr>
      <w:r w:rsidRPr="00673E12">
        <w:rPr>
          <w:rFonts w:ascii="Times New Roman" w:hAnsi="Times New Roman" w:cs="Times New Roman"/>
          <w:b/>
          <w:bCs/>
          <w:sz w:val="24"/>
          <w:szCs w:val="24"/>
        </w:rPr>
        <w:t>Введение</w:t>
      </w:r>
    </w:p>
    <w:p w:rsidR="00034736" w:rsidRPr="003970EC" w:rsidRDefault="00034736" w:rsidP="00574B41">
      <w:pPr>
        <w:spacing w:after="0" w:line="360" w:lineRule="auto"/>
        <w:ind w:firstLine="709"/>
        <w:jc w:val="both"/>
        <w:rPr>
          <w:rFonts w:ascii="Times New Roman" w:hAnsi="Times New Roman" w:cs="Times New Roman"/>
          <w:sz w:val="24"/>
          <w:szCs w:val="24"/>
        </w:rPr>
      </w:pPr>
      <w:r w:rsidRPr="003970EC">
        <w:rPr>
          <w:rFonts w:ascii="Times New Roman" w:hAnsi="Times New Roman" w:cs="Times New Roman"/>
          <w:sz w:val="24"/>
          <w:szCs w:val="24"/>
        </w:rPr>
        <w:lastRenderedPageBreak/>
        <w:t xml:space="preserve">Стоматологический статус у лиц молодого возраста Пермского края характеризуется высокой распространенностью заболеваний пародонта (97,65%)  на фоне  низкого уровня гигиены полости рта [3]. Повышение эффективности лечения и профилактики воспалительных заболеваний пародонта представляет актуальную  проблему  современной стоматологии. </w:t>
      </w:r>
      <w:r w:rsidRPr="003970EC">
        <w:rPr>
          <w:rFonts w:ascii="Times New Roman" w:hAnsi="Times New Roman" w:cs="Times New Roman"/>
          <w:sz w:val="24"/>
          <w:szCs w:val="24"/>
        </w:rPr>
        <w:sym w:font="Symbol" w:char="F05B"/>
      </w:r>
      <w:r w:rsidRPr="003970EC">
        <w:rPr>
          <w:rFonts w:ascii="Times New Roman" w:hAnsi="Times New Roman" w:cs="Times New Roman"/>
          <w:sz w:val="24"/>
          <w:szCs w:val="24"/>
        </w:rPr>
        <w:t>4</w:t>
      </w:r>
      <w:r w:rsidRPr="003970EC">
        <w:rPr>
          <w:rFonts w:ascii="Times New Roman" w:hAnsi="Times New Roman" w:cs="Times New Roman"/>
          <w:sz w:val="24"/>
          <w:szCs w:val="24"/>
        </w:rPr>
        <w:sym w:font="Symbol" w:char="F05D"/>
      </w:r>
    </w:p>
    <w:p w:rsidR="00034736" w:rsidRPr="003970EC" w:rsidRDefault="00034736" w:rsidP="00574B41">
      <w:pPr>
        <w:spacing w:after="0" w:line="360" w:lineRule="auto"/>
        <w:ind w:firstLine="709"/>
        <w:jc w:val="both"/>
        <w:rPr>
          <w:rFonts w:ascii="Times New Roman" w:hAnsi="Times New Roman" w:cs="Times New Roman"/>
          <w:sz w:val="24"/>
          <w:szCs w:val="24"/>
        </w:rPr>
      </w:pPr>
      <w:r w:rsidRPr="003970EC">
        <w:rPr>
          <w:rFonts w:ascii="Times New Roman" w:hAnsi="Times New Roman" w:cs="Times New Roman"/>
          <w:sz w:val="24"/>
          <w:szCs w:val="24"/>
        </w:rPr>
        <w:t>На  современном этапе развития медицинской науки  большое значение приобр</w:t>
      </w:r>
      <w:r w:rsidR="00FB5E55" w:rsidRPr="003970EC">
        <w:rPr>
          <w:rFonts w:ascii="Times New Roman" w:hAnsi="Times New Roman" w:cs="Times New Roman"/>
          <w:sz w:val="24"/>
          <w:szCs w:val="24"/>
        </w:rPr>
        <w:t>етают немедикаментозные методы</w:t>
      </w:r>
      <w:r w:rsidRPr="003970EC">
        <w:rPr>
          <w:rFonts w:ascii="Times New Roman" w:hAnsi="Times New Roman" w:cs="Times New Roman"/>
          <w:sz w:val="24"/>
          <w:szCs w:val="24"/>
        </w:rPr>
        <w:t xml:space="preserve">, которые направлены на восстановление здоровья человека на этапах выздоровления или ремиссии заболеваний. Одним из таких природных лечебных методов, имеющих высокую эффективность и разнообразные показания к применению, является спелеотерапия. </w:t>
      </w:r>
      <w:r w:rsidRPr="003970EC">
        <w:rPr>
          <w:rFonts w:ascii="Times New Roman" w:hAnsi="Times New Roman" w:cs="Times New Roman"/>
          <w:sz w:val="24"/>
          <w:szCs w:val="24"/>
        </w:rPr>
        <w:sym w:font="Symbol" w:char="F05B"/>
      </w:r>
      <w:r w:rsidRPr="003970EC">
        <w:rPr>
          <w:rFonts w:ascii="Times New Roman" w:hAnsi="Times New Roman" w:cs="Times New Roman"/>
          <w:sz w:val="24"/>
          <w:szCs w:val="24"/>
        </w:rPr>
        <w:t>1</w:t>
      </w:r>
      <w:r w:rsidRPr="003970EC">
        <w:rPr>
          <w:rFonts w:ascii="Times New Roman" w:hAnsi="Times New Roman" w:cs="Times New Roman"/>
          <w:sz w:val="24"/>
          <w:szCs w:val="24"/>
        </w:rPr>
        <w:sym w:font="Symbol" w:char="F05D"/>
      </w:r>
    </w:p>
    <w:p w:rsidR="00034736" w:rsidRPr="003970EC" w:rsidRDefault="00034736" w:rsidP="00673E12">
      <w:pPr>
        <w:spacing w:after="0" w:line="360" w:lineRule="auto"/>
        <w:ind w:firstLine="709"/>
        <w:jc w:val="both"/>
        <w:rPr>
          <w:rFonts w:ascii="Times New Roman" w:hAnsi="Times New Roman" w:cs="Times New Roman"/>
          <w:sz w:val="24"/>
          <w:szCs w:val="24"/>
        </w:rPr>
      </w:pPr>
      <w:r w:rsidRPr="003970EC">
        <w:rPr>
          <w:rFonts w:ascii="Times New Roman" w:hAnsi="Times New Roman" w:cs="Times New Roman"/>
          <w:sz w:val="24"/>
          <w:szCs w:val="24"/>
        </w:rPr>
        <w:t>В современных литературных источниках отечественных и зарубежных авторов нет сведений о применении сильвинотерапии для профилактики и лечения стоматологических заболеваний.  Не изучено воздействие комплекса лечебных факторов физиотерапевтического сильвинитового помещения на состояние органов полости рта.</w:t>
      </w:r>
    </w:p>
    <w:p w:rsidR="00034736" w:rsidRPr="003970EC" w:rsidRDefault="00034736" w:rsidP="00673E12">
      <w:pPr>
        <w:spacing w:after="0" w:line="360" w:lineRule="auto"/>
        <w:ind w:firstLine="709"/>
        <w:jc w:val="both"/>
        <w:rPr>
          <w:rFonts w:ascii="Times New Roman" w:hAnsi="Times New Roman" w:cs="Times New Roman"/>
          <w:sz w:val="24"/>
          <w:szCs w:val="24"/>
        </w:rPr>
      </w:pPr>
      <w:r w:rsidRPr="003970EC">
        <w:rPr>
          <w:rFonts w:ascii="Times New Roman" w:hAnsi="Times New Roman" w:cs="Times New Roman"/>
          <w:sz w:val="24"/>
          <w:szCs w:val="24"/>
        </w:rPr>
        <w:t xml:space="preserve">Изучение количественных и качественных показателей слюны имеет диагностическое и прогностическое значение. Уменьшение количества и нарушение свойств ротовой жидкости негативно влияет на состояние органов полости рта. Основной   функцией  слюны является  защита целостности тканей полости рта благодаря ее антимикробным, противовирусным, очищающим и  иммунными свойствам. Исследование физико-химических и биохимических параметров ротовой жидкости позволяет объективно оценить характер течения кариеса и воспалительных процессов в тканях полости рта, а также эффективность проводимой терапии. </w:t>
      </w:r>
      <w:r w:rsidRPr="003970EC">
        <w:rPr>
          <w:rFonts w:ascii="Times New Roman" w:hAnsi="Times New Roman" w:cs="Times New Roman"/>
          <w:sz w:val="24"/>
          <w:szCs w:val="24"/>
        </w:rPr>
        <w:sym w:font="Symbol" w:char="F05B"/>
      </w:r>
      <w:r w:rsidR="009444D8">
        <w:rPr>
          <w:rFonts w:ascii="Times New Roman" w:hAnsi="Times New Roman" w:cs="Times New Roman"/>
          <w:sz w:val="24"/>
          <w:szCs w:val="24"/>
        </w:rPr>
        <w:t xml:space="preserve"> 2, 5, 6</w:t>
      </w:r>
      <w:r w:rsidRPr="003970EC">
        <w:rPr>
          <w:rFonts w:ascii="Times New Roman" w:hAnsi="Times New Roman" w:cs="Times New Roman"/>
          <w:sz w:val="24"/>
          <w:szCs w:val="24"/>
        </w:rPr>
        <w:sym w:font="Symbol" w:char="F05D"/>
      </w:r>
    </w:p>
    <w:p w:rsidR="00034736" w:rsidRPr="003970EC" w:rsidRDefault="00034736" w:rsidP="00673E12">
      <w:pPr>
        <w:spacing w:after="0" w:line="360" w:lineRule="auto"/>
        <w:ind w:firstLine="709"/>
        <w:jc w:val="both"/>
        <w:rPr>
          <w:rFonts w:ascii="Times New Roman" w:hAnsi="Times New Roman" w:cs="Times New Roman"/>
          <w:sz w:val="24"/>
          <w:szCs w:val="24"/>
        </w:rPr>
      </w:pPr>
      <w:r w:rsidRPr="00673E12">
        <w:rPr>
          <w:rFonts w:ascii="Times New Roman" w:hAnsi="Times New Roman" w:cs="Times New Roman"/>
          <w:b/>
          <w:bCs/>
          <w:sz w:val="24"/>
          <w:szCs w:val="24"/>
        </w:rPr>
        <w:t>Целью настоящего исследования</w:t>
      </w:r>
      <w:r w:rsidRPr="003970EC">
        <w:rPr>
          <w:rFonts w:ascii="Times New Roman" w:hAnsi="Times New Roman" w:cs="Times New Roman"/>
          <w:sz w:val="24"/>
          <w:szCs w:val="24"/>
        </w:rPr>
        <w:t xml:space="preserve"> явилась оценка гигиенических факторов сильвинитового физиотерапевтического помещения и  влияния сильвинотерапии на  скорость слюноотделения,  физико-химические и биохимические показатели слюны у лиц молодого возраста.</w:t>
      </w:r>
    </w:p>
    <w:p w:rsidR="00034736" w:rsidRPr="00673E12" w:rsidRDefault="00034736" w:rsidP="007F2CEA">
      <w:pPr>
        <w:spacing w:after="0" w:line="360" w:lineRule="auto"/>
        <w:ind w:firstLine="709"/>
        <w:rPr>
          <w:rFonts w:ascii="Times New Roman" w:hAnsi="Times New Roman" w:cs="Times New Roman"/>
          <w:b/>
          <w:bCs/>
          <w:sz w:val="24"/>
          <w:szCs w:val="24"/>
        </w:rPr>
      </w:pPr>
      <w:r w:rsidRPr="00673E12">
        <w:rPr>
          <w:rFonts w:ascii="Times New Roman" w:hAnsi="Times New Roman" w:cs="Times New Roman"/>
          <w:b/>
          <w:bCs/>
          <w:sz w:val="24"/>
          <w:szCs w:val="24"/>
        </w:rPr>
        <w:t>Материалы и методы исследования</w:t>
      </w:r>
    </w:p>
    <w:p w:rsidR="00034736" w:rsidRPr="003970EC" w:rsidRDefault="00034736" w:rsidP="00673E12">
      <w:pPr>
        <w:spacing w:after="0" w:line="360" w:lineRule="auto"/>
        <w:ind w:firstLine="709"/>
        <w:jc w:val="both"/>
        <w:rPr>
          <w:rFonts w:ascii="Times New Roman" w:hAnsi="Times New Roman" w:cs="Times New Roman"/>
          <w:sz w:val="24"/>
          <w:szCs w:val="24"/>
        </w:rPr>
      </w:pPr>
      <w:r w:rsidRPr="003970EC">
        <w:rPr>
          <w:rFonts w:ascii="Times New Roman" w:hAnsi="Times New Roman" w:cs="Times New Roman"/>
          <w:sz w:val="24"/>
          <w:szCs w:val="24"/>
        </w:rPr>
        <w:t xml:space="preserve">В исследовании добровольно согласились принять участие 50 студентов медико-профилактического факультета ПГМУ  им. академика Е.А. Вагнера обоего пола  в возрасте от 20  до 25 лет с диагнозом хронический генерализованный катаральный гингивит (ХГКГ), которые  получили подробную информация о планируемом исследовании, подписали протокол информированного согласия.  </w:t>
      </w:r>
    </w:p>
    <w:p w:rsidR="00034736" w:rsidRPr="003970EC" w:rsidRDefault="00034736" w:rsidP="00673E12">
      <w:pPr>
        <w:spacing w:after="0" w:line="360" w:lineRule="auto"/>
        <w:ind w:firstLine="709"/>
        <w:jc w:val="both"/>
        <w:rPr>
          <w:rFonts w:ascii="Times New Roman" w:hAnsi="Times New Roman" w:cs="Times New Roman"/>
          <w:sz w:val="24"/>
          <w:szCs w:val="24"/>
        </w:rPr>
      </w:pPr>
      <w:r w:rsidRPr="003970EC">
        <w:rPr>
          <w:rFonts w:ascii="Times New Roman" w:hAnsi="Times New Roman" w:cs="Times New Roman"/>
          <w:sz w:val="24"/>
          <w:szCs w:val="24"/>
        </w:rPr>
        <w:t>Все участники исследования были разделены на две группы в зависимости от методов лечения. Основную группу   составили 24 человека, у которых наряду  с санацией полости рта и лечением гингивита проводили курс сил</w:t>
      </w:r>
      <w:r w:rsidR="00FB5E55" w:rsidRPr="003970EC">
        <w:rPr>
          <w:rFonts w:ascii="Times New Roman" w:hAnsi="Times New Roman" w:cs="Times New Roman"/>
          <w:sz w:val="24"/>
          <w:szCs w:val="24"/>
        </w:rPr>
        <w:t>ь</w:t>
      </w:r>
      <w:r w:rsidRPr="003970EC">
        <w:rPr>
          <w:rFonts w:ascii="Times New Roman" w:hAnsi="Times New Roman" w:cs="Times New Roman"/>
          <w:sz w:val="24"/>
          <w:szCs w:val="24"/>
        </w:rPr>
        <w:t xml:space="preserve">винитотерапии в течение 17 дней.   В группу </w:t>
      </w:r>
      <w:r w:rsidRPr="003970EC">
        <w:rPr>
          <w:rFonts w:ascii="Times New Roman" w:hAnsi="Times New Roman" w:cs="Times New Roman"/>
          <w:sz w:val="24"/>
          <w:szCs w:val="24"/>
        </w:rPr>
        <w:lastRenderedPageBreak/>
        <w:t>сравнения входили   26 человек, которым была проведена санация полости рта. Результаты лечения  определяли на основании клинической и индексной оценки (OHI-S, РМА, CPITN,  SBI) через месяц после курса терапии.</w:t>
      </w:r>
    </w:p>
    <w:p w:rsidR="00034736" w:rsidRPr="003970EC" w:rsidRDefault="00034736" w:rsidP="00673E12">
      <w:pPr>
        <w:spacing w:after="0" w:line="360" w:lineRule="auto"/>
        <w:ind w:firstLine="709"/>
        <w:jc w:val="both"/>
        <w:rPr>
          <w:rFonts w:ascii="Times New Roman" w:hAnsi="Times New Roman" w:cs="Times New Roman"/>
          <w:sz w:val="24"/>
          <w:szCs w:val="24"/>
        </w:rPr>
      </w:pPr>
      <w:r w:rsidRPr="003970EC">
        <w:rPr>
          <w:rFonts w:ascii="Times New Roman" w:hAnsi="Times New Roman" w:cs="Times New Roman"/>
          <w:sz w:val="24"/>
          <w:szCs w:val="24"/>
        </w:rPr>
        <w:t>Сильвинитотерапию проводили в  сильвинитовом физиотерапевтическом  помещении площадью 23,6 м2 , стены которого выполнены соляными сильвинитовыми панелями, соляными фильтрами, снабженными воздуховодами, подающими атмосферный воздух с помощью побудителей, и патрубками для подачи воздуха на сильвинитовые панели.  Общая   реакционная  поверхность блоков минерала   равна 2,6 м2. Соотношение площади соляных реакционных поверхностей, состоящих на 34,8% из сильвина, к общей площади ограждений помещения составляет 1:7. В помещение дополнительно введено аэрозольное устройство, в котором в качестве соляного бло</w:t>
      </w:r>
      <w:r w:rsidR="00FB5E55" w:rsidRPr="003970EC">
        <w:rPr>
          <w:rFonts w:ascii="Times New Roman" w:hAnsi="Times New Roman" w:cs="Times New Roman"/>
          <w:sz w:val="24"/>
          <w:szCs w:val="24"/>
        </w:rPr>
        <w:t>ка используется  100% сильвин. [</w:t>
      </w:r>
      <w:r w:rsidR="009444D8">
        <w:rPr>
          <w:rFonts w:ascii="Times New Roman" w:hAnsi="Times New Roman" w:cs="Times New Roman"/>
          <w:sz w:val="24"/>
          <w:szCs w:val="24"/>
        </w:rPr>
        <w:t>7</w:t>
      </w:r>
      <w:r w:rsidR="00FB5E55" w:rsidRPr="003970EC">
        <w:rPr>
          <w:rFonts w:ascii="Times New Roman" w:hAnsi="Times New Roman" w:cs="Times New Roman"/>
          <w:sz w:val="24"/>
          <w:szCs w:val="24"/>
        </w:rPr>
        <w:t>]</w:t>
      </w:r>
    </w:p>
    <w:p w:rsidR="00673E12" w:rsidRDefault="00034736" w:rsidP="00673E12">
      <w:pPr>
        <w:spacing w:after="0" w:line="360" w:lineRule="auto"/>
        <w:ind w:firstLine="709"/>
        <w:jc w:val="both"/>
        <w:rPr>
          <w:rFonts w:ascii="Times New Roman" w:hAnsi="Times New Roman" w:cs="Times New Roman"/>
          <w:sz w:val="24"/>
          <w:szCs w:val="24"/>
        </w:rPr>
      </w:pPr>
      <w:r w:rsidRPr="003970EC">
        <w:rPr>
          <w:rFonts w:ascii="Times New Roman" w:hAnsi="Times New Roman" w:cs="Times New Roman"/>
          <w:sz w:val="24"/>
          <w:szCs w:val="24"/>
        </w:rPr>
        <w:t>Для определения   микроклимата помещения  изучали температуру, относительную влажность, скорость движения воздуха и температуру ограждающих поверхностей. Использовали приборы, рекомендованные  для проведения гигиенических исследований воздушной среды помещения.</w:t>
      </w:r>
    </w:p>
    <w:p w:rsidR="00034736" w:rsidRPr="003970EC" w:rsidRDefault="00034736" w:rsidP="00673E12">
      <w:pPr>
        <w:spacing w:after="0" w:line="360" w:lineRule="auto"/>
        <w:ind w:firstLine="709"/>
        <w:jc w:val="both"/>
        <w:rPr>
          <w:rFonts w:ascii="Times New Roman" w:hAnsi="Times New Roman" w:cs="Times New Roman"/>
          <w:sz w:val="24"/>
          <w:szCs w:val="24"/>
        </w:rPr>
      </w:pPr>
      <w:r w:rsidRPr="003970EC">
        <w:rPr>
          <w:rFonts w:ascii="Times New Roman" w:hAnsi="Times New Roman" w:cs="Times New Roman"/>
          <w:sz w:val="24"/>
          <w:szCs w:val="24"/>
        </w:rPr>
        <w:t>Скорость естественного нестимулированного слюноотделения  определяли в дневное время через 2 часа после еды</w:t>
      </w:r>
      <w:r w:rsidR="006D2AE4" w:rsidRPr="003970EC">
        <w:rPr>
          <w:rFonts w:ascii="Times New Roman" w:hAnsi="Times New Roman" w:cs="Times New Roman"/>
          <w:sz w:val="24"/>
          <w:szCs w:val="24"/>
        </w:rPr>
        <w:t>,</w:t>
      </w:r>
      <w:r w:rsidRPr="003970EC">
        <w:rPr>
          <w:rFonts w:ascii="Times New Roman" w:hAnsi="Times New Roman" w:cs="Times New Roman"/>
          <w:sz w:val="24"/>
          <w:szCs w:val="24"/>
        </w:rPr>
        <w:t xml:space="preserve"> в течение 20 минут собирали смешанную слюну в пробирку путём сплёвывания спонтанно накопившейся слюны. В ходе сбора слюны был исключён контакт с обонятельными и вкусовыми раздражителями. В норме СПС  у лиц до 30 лет составляет 0,7-1 мл/ мин. </w:t>
      </w:r>
      <w:r w:rsidRPr="003970EC">
        <w:rPr>
          <w:rFonts w:ascii="Times New Roman" w:hAnsi="Times New Roman" w:cs="Times New Roman"/>
          <w:sz w:val="24"/>
          <w:szCs w:val="24"/>
        </w:rPr>
        <w:sym w:font="Symbol" w:char="F05B"/>
      </w:r>
      <w:r w:rsidR="009444D8">
        <w:rPr>
          <w:rFonts w:ascii="Times New Roman" w:hAnsi="Times New Roman" w:cs="Times New Roman"/>
          <w:sz w:val="24"/>
          <w:szCs w:val="24"/>
        </w:rPr>
        <w:t>2</w:t>
      </w:r>
      <w:r w:rsidRPr="003970EC">
        <w:rPr>
          <w:rFonts w:ascii="Times New Roman" w:hAnsi="Times New Roman" w:cs="Times New Roman"/>
          <w:sz w:val="24"/>
          <w:szCs w:val="24"/>
        </w:rPr>
        <w:sym w:font="Symbol" w:char="F05D"/>
      </w:r>
    </w:p>
    <w:p w:rsidR="00034736" w:rsidRPr="003970EC" w:rsidRDefault="00034736" w:rsidP="00673E12">
      <w:pPr>
        <w:spacing w:after="0" w:line="360" w:lineRule="auto"/>
        <w:ind w:firstLine="709"/>
        <w:jc w:val="both"/>
        <w:rPr>
          <w:rFonts w:ascii="Times New Roman" w:hAnsi="Times New Roman" w:cs="Times New Roman"/>
          <w:sz w:val="24"/>
          <w:szCs w:val="24"/>
        </w:rPr>
      </w:pPr>
      <w:r w:rsidRPr="003970EC">
        <w:rPr>
          <w:rFonts w:ascii="Times New Roman" w:hAnsi="Times New Roman" w:cs="Times New Roman"/>
          <w:sz w:val="24"/>
          <w:szCs w:val="24"/>
        </w:rPr>
        <w:t>Определение водородного показателя активности ионов в слюне проводили в утренние часы между приемами пищи с помощью индикаторной лакмусовой бумаги фирмы «Мerk»  (Германия, диапазон измерения от 5,0 до 8,0 с ценой деления 0,2 рН).</w:t>
      </w:r>
    </w:p>
    <w:p w:rsidR="00034736" w:rsidRPr="003970EC" w:rsidRDefault="00034736" w:rsidP="00673E12">
      <w:pPr>
        <w:spacing w:after="0" w:line="360" w:lineRule="auto"/>
        <w:ind w:firstLine="709"/>
        <w:jc w:val="both"/>
        <w:rPr>
          <w:rFonts w:ascii="Times New Roman" w:hAnsi="Times New Roman" w:cs="Times New Roman"/>
          <w:sz w:val="24"/>
          <w:szCs w:val="24"/>
        </w:rPr>
      </w:pPr>
      <w:r w:rsidRPr="003970EC">
        <w:rPr>
          <w:rFonts w:ascii="Times New Roman" w:hAnsi="Times New Roman" w:cs="Times New Roman"/>
          <w:sz w:val="24"/>
          <w:szCs w:val="24"/>
        </w:rPr>
        <w:t xml:space="preserve"> Исследование минерализующей функции  слюны с определением типа микрокристаллизации по методике Леуса П.А. в модификации Дубровиной Л.А.  После забора небольшого количества смешанной нестимулированной слюны ее переносили на предметное стекло и высушивали в термостате при температуре 37</w:t>
      </w:r>
      <w:r w:rsidRPr="008A542B">
        <w:rPr>
          <w:rFonts w:ascii="Times New Roman" w:hAnsi="Times New Roman" w:cs="Times New Roman"/>
          <w:sz w:val="24"/>
          <w:szCs w:val="24"/>
          <w:vertAlign w:val="superscript"/>
        </w:rPr>
        <w:t>о</w:t>
      </w:r>
      <w:r w:rsidRPr="003970EC">
        <w:rPr>
          <w:rFonts w:ascii="Times New Roman" w:hAnsi="Times New Roman" w:cs="Times New Roman"/>
          <w:sz w:val="24"/>
          <w:szCs w:val="24"/>
        </w:rPr>
        <w:t xml:space="preserve">С в течение 2 часов. Тип кристаллизации определяли под микроскопом при естественном освещении с увеличением в 300 раз. </w:t>
      </w:r>
    </w:p>
    <w:p w:rsidR="00034736" w:rsidRPr="003970EC" w:rsidRDefault="00034736" w:rsidP="00673E12">
      <w:pPr>
        <w:spacing w:after="0" w:line="360" w:lineRule="auto"/>
        <w:ind w:firstLine="709"/>
        <w:jc w:val="both"/>
        <w:rPr>
          <w:rFonts w:ascii="Times New Roman" w:hAnsi="Times New Roman" w:cs="Times New Roman"/>
          <w:sz w:val="24"/>
          <w:szCs w:val="24"/>
        </w:rPr>
      </w:pPr>
      <w:r w:rsidRPr="003970EC">
        <w:rPr>
          <w:rFonts w:ascii="Times New Roman" w:hAnsi="Times New Roman" w:cs="Times New Roman"/>
          <w:sz w:val="24"/>
          <w:szCs w:val="24"/>
        </w:rPr>
        <w:t xml:space="preserve">Местный иммунитет полости рта оценивали по содержанию в смешанной слюне лизоцима, цитокинов и иммуноглобулинов. Количественное определение секреторного иммуноглобулина  А проводили методом простой иммунодиффузии в агаровом геле по методике Manchini (1965). Изучение показателей цитокинового профиля выполнено с использованием метода твердофазного иммуноферментного анализа (наборы «Цитокин» С. – </w:t>
      </w:r>
      <w:r w:rsidRPr="003970EC">
        <w:rPr>
          <w:rFonts w:ascii="Times New Roman" w:hAnsi="Times New Roman" w:cs="Times New Roman"/>
          <w:sz w:val="24"/>
          <w:szCs w:val="24"/>
        </w:rPr>
        <w:lastRenderedPageBreak/>
        <w:t>Петербург, Россия). Для определения ферментной активности лизоцима использовали  метод  диффузии в агаре (Каграманова К.А., Ермольева З.В., 1966).</w:t>
      </w:r>
    </w:p>
    <w:p w:rsidR="00034736" w:rsidRPr="00673E12" w:rsidRDefault="00034736" w:rsidP="007F2CEA">
      <w:pPr>
        <w:spacing w:after="0" w:line="360" w:lineRule="auto"/>
        <w:ind w:firstLine="709"/>
        <w:rPr>
          <w:rFonts w:ascii="Times New Roman" w:hAnsi="Times New Roman" w:cs="Times New Roman"/>
          <w:b/>
          <w:bCs/>
          <w:sz w:val="24"/>
          <w:szCs w:val="24"/>
        </w:rPr>
      </w:pPr>
      <w:r w:rsidRPr="00673E12">
        <w:rPr>
          <w:rFonts w:ascii="Times New Roman" w:hAnsi="Times New Roman" w:cs="Times New Roman"/>
          <w:b/>
          <w:bCs/>
          <w:sz w:val="24"/>
          <w:szCs w:val="24"/>
        </w:rPr>
        <w:t>Результаты и их обсуждение</w:t>
      </w:r>
    </w:p>
    <w:p w:rsidR="00034736" w:rsidRPr="003970EC" w:rsidRDefault="00034736" w:rsidP="00673E12">
      <w:pPr>
        <w:spacing w:after="0" w:line="360" w:lineRule="auto"/>
        <w:ind w:firstLine="709"/>
        <w:jc w:val="both"/>
        <w:rPr>
          <w:rFonts w:ascii="Times New Roman" w:hAnsi="Times New Roman" w:cs="Times New Roman"/>
          <w:sz w:val="24"/>
          <w:szCs w:val="24"/>
        </w:rPr>
      </w:pPr>
      <w:r w:rsidRPr="003970EC">
        <w:rPr>
          <w:rFonts w:ascii="Times New Roman" w:hAnsi="Times New Roman" w:cs="Times New Roman"/>
          <w:sz w:val="24"/>
          <w:szCs w:val="24"/>
        </w:rPr>
        <w:t>Изучение гигиенических параметров физиотерапевтического сильвинитового помещения показало, что они в течение всего периода наблюдений находились в пределах гигиенических нормативов. Температура воздуха составляла 23,18±0,28ºC, относительная влажность – 44,39±1,12%, температура ограждающих поверхностей находилась на уровне 22,1±0,35ºC, скорость движения воздуха была постоянной и не превышала 0,01±0,001м/с. Уровень радиационного фона в соляном помещении находился в пределах 0,18±0,0027 мкЗв/ч и не превышал допустимых значений. Среднее количество легких отрицательных аэроионов до начала сеанса сильвинитотерапии составляло 802,33±62,69 ион/см3, легких положительных – 509,33±37,17 ион/см3. Расчетный коэффициент униполярности равнялся 0,63±0,001 и свидетельствовал о благоприятном аэроионизационном состоянии воздушной среды. Положительная аэроионизационная обстановка в помещении сохранялась в течение трех часов сеанса.</w:t>
      </w:r>
    </w:p>
    <w:p w:rsidR="00034736" w:rsidRPr="003970EC" w:rsidRDefault="00034736" w:rsidP="00673E12">
      <w:pPr>
        <w:spacing w:after="0" w:line="360" w:lineRule="auto"/>
        <w:ind w:firstLine="709"/>
        <w:jc w:val="both"/>
        <w:rPr>
          <w:rFonts w:ascii="Times New Roman" w:hAnsi="Times New Roman" w:cs="Times New Roman"/>
          <w:sz w:val="24"/>
          <w:szCs w:val="24"/>
        </w:rPr>
      </w:pPr>
      <w:r w:rsidRPr="003970EC">
        <w:rPr>
          <w:rFonts w:ascii="Times New Roman" w:hAnsi="Times New Roman" w:cs="Times New Roman"/>
          <w:sz w:val="24"/>
          <w:szCs w:val="24"/>
        </w:rPr>
        <w:t>Показатели стоматологического статуса исследуемой категории пациентов свидетельствовали об абсолютной распространенности и высокой интенсивности кариеса зубов.  Среднее значение показателя составило 10,9±0,67( К – 4,20; П – 5,11; У - 0,78). До лечения студенты предъявляли жалобы на кровоточивость и болезненность десен при чистке зубов и приеме жесткой пищи, наличие зубных отложений. Исследование состояния тканей маргинального пародонта показало наличие кровоточивости, отека и гиперемии  десны преимущественно в области нижних резцов и клыков, а также  первых моляров.</w:t>
      </w:r>
    </w:p>
    <w:p w:rsidR="00034736" w:rsidRPr="003970EC" w:rsidRDefault="00034736" w:rsidP="00673E12">
      <w:pPr>
        <w:spacing w:after="0" w:line="360" w:lineRule="auto"/>
        <w:ind w:firstLine="709"/>
        <w:jc w:val="both"/>
        <w:rPr>
          <w:rFonts w:ascii="Times New Roman" w:hAnsi="Times New Roman" w:cs="Times New Roman"/>
          <w:sz w:val="24"/>
          <w:szCs w:val="24"/>
        </w:rPr>
      </w:pPr>
      <w:r w:rsidRPr="003970EC">
        <w:rPr>
          <w:rFonts w:ascii="Times New Roman" w:hAnsi="Times New Roman" w:cs="Times New Roman"/>
          <w:sz w:val="24"/>
          <w:szCs w:val="24"/>
        </w:rPr>
        <w:t xml:space="preserve">Индивидуальные значения индекса РМА были в пределах от 25% до 31%, кровоточивость десен появлялась сразу после зондирования. В структуре индекса  CPITN секстанты с интактным пародонтом составили 50%, с кровоточивостью – 36%,   </w:t>
      </w:r>
      <w:r w:rsidR="008A542B">
        <w:rPr>
          <w:rFonts w:ascii="Times New Roman" w:hAnsi="Times New Roman" w:cs="Times New Roman"/>
          <w:sz w:val="24"/>
          <w:szCs w:val="24"/>
        </w:rPr>
        <w:t>секстанты с зубным камнем – 14%.</w:t>
      </w:r>
      <w:r w:rsidRPr="003970EC">
        <w:rPr>
          <w:rFonts w:ascii="Times New Roman" w:hAnsi="Times New Roman" w:cs="Times New Roman"/>
          <w:sz w:val="24"/>
          <w:szCs w:val="24"/>
        </w:rPr>
        <w:t xml:space="preserve"> Исходные величины средних значений пародонтологических индексов не имели достоверных различий в группах</w:t>
      </w:r>
      <w:r w:rsidR="008A542B">
        <w:rPr>
          <w:rFonts w:ascii="Times New Roman" w:hAnsi="Times New Roman" w:cs="Times New Roman"/>
          <w:sz w:val="24"/>
          <w:szCs w:val="24"/>
        </w:rPr>
        <w:t>.</w:t>
      </w:r>
    </w:p>
    <w:p w:rsidR="00034736" w:rsidRPr="003970EC" w:rsidRDefault="00034736" w:rsidP="00673E12">
      <w:pPr>
        <w:spacing w:after="0" w:line="360" w:lineRule="auto"/>
        <w:ind w:firstLine="709"/>
        <w:jc w:val="both"/>
        <w:rPr>
          <w:rFonts w:ascii="Times New Roman" w:hAnsi="Times New Roman" w:cs="Times New Roman"/>
          <w:sz w:val="24"/>
          <w:szCs w:val="24"/>
        </w:rPr>
      </w:pPr>
      <w:r w:rsidRPr="003970EC">
        <w:rPr>
          <w:rFonts w:ascii="Times New Roman" w:hAnsi="Times New Roman" w:cs="Times New Roman"/>
          <w:sz w:val="24"/>
          <w:szCs w:val="24"/>
        </w:rPr>
        <w:t xml:space="preserve">В процессе санации и комплексного лечения хронического гингивита у пациентов отмечен положительный эффект терапии.  В обеих группах установлено  отсутствие  жалоб,  улучшение состояния  десен и гигиены полости рта. </w:t>
      </w:r>
    </w:p>
    <w:p w:rsidR="00034736" w:rsidRPr="003970EC" w:rsidRDefault="00034736" w:rsidP="00673E12">
      <w:pPr>
        <w:spacing w:after="0" w:line="360" w:lineRule="auto"/>
        <w:ind w:firstLine="709"/>
        <w:jc w:val="both"/>
        <w:rPr>
          <w:rFonts w:ascii="Times New Roman" w:hAnsi="Times New Roman" w:cs="Times New Roman"/>
          <w:sz w:val="24"/>
          <w:szCs w:val="24"/>
        </w:rPr>
      </w:pPr>
      <w:r w:rsidRPr="003970EC">
        <w:rPr>
          <w:rFonts w:ascii="Times New Roman" w:hAnsi="Times New Roman" w:cs="Times New Roman"/>
          <w:sz w:val="24"/>
          <w:szCs w:val="24"/>
        </w:rPr>
        <w:t xml:space="preserve">В основной группе после курса минералотерапии студенты отметили улучшение самочувствия, повышение работоспособности и концентрации внимания. Среднее значение гигиенического индекса  OHI-S  уменьшилось в 3,7 раза, а индекса кровоточивости SBI - в 4 раза, величина индекса гингивита РМА – в 5 раз. В группе сравнения также  наблюдали </w:t>
      </w:r>
      <w:r w:rsidRPr="003970EC">
        <w:rPr>
          <w:rFonts w:ascii="Times New Roman" w:hAnsi="Times New Roman" w:cs="Times New Roman"/>
          <w:sz w:val="24"/>
          <w:szCs w:val="24"/>
        </w:rPr>
        <w:lastRenderedPageBreak/>
        <w:t>положительную, но менее значимую ди</w:t>
      </w:r>
      <w:r w:rsidR="000C6AFF" w:rsidRPr="003970EC">
        <w:rPr>
          <w:rFonts w:ascii="Times New Roman" w:hAnsi="Times New Roman" w:cs="Times New Roman"/>
          <w:sz w:val="24"/>
          <w:szCs w:val="24"/>
        </w:rPr>
        <w:t>намику изучаемых показателей</w:t>
      </w:r>
      <w:r w:rsidR="008A542B">
        <w:rPr>
          <w:rFonts w:ascii="Times New Roman" w:hAnsi="Times New Roman" w:cs="Times New Roman"/>
          <w:sz w:val="24"/>
          <w:szCs w:val="24"/>
        </w:rPr>
        <w:t>.</w:t>
      </w:r>
      <w:r w:rsidR="000C6AFF" w:rsidRPr="003970EC">
        <w:rPr>
          <w:rFonts w:ascii="Times New Roman" w:hAnsi="Times New Roman" w:cs="Times New Roman"/>
          <w:sz w:val="24"/>
          <w:szCs w:val="24"/>
        </w:rPr>
        <w:t xml:space="preserve"> </w:t>
      </w:r>
      <w:r w:rsidRPr="003970EC">
        <w:rPr>
          <w:rFonts w:ascii="Times New Roman" w:hAnsi="Times New Roman" w:cs="Times New Roman"/>
          <w:sz w:val="24"/>
          <w:szCs w:val="24"/>
        </w:rPr>
        <w:t>В основной группе редукция показателя CPITN составила  68,2%, а в группе сравнения – 47,31%</w:t>
      </w:r>
      <w:r w:rsidR="008A542B">
        <w:rPr>
          <w:rFonts w:ascii="Times New Roman" w:hAnsi="Times New Roman" w:cs="Times New Roman"/>
          <w:sz w:val="24"/>
          <w:szCs w:val="24"/>
        </w:rPr>
        <w:t xml:space="preserve"> </w:t>
      </w:r>
      <w:r w:rsidR="008A542B" w:rsidRPr="003970EC">
        <w:rPr>
          <w:rFonts w:ascii="Times New Roman" w:hAnsi="Times New Roman" w:cs="Times New Roman"/>
          <w:sz w:val="24"/>
          <w:szCs w:val="24"/>
        </w:rPr>
        <w:t>(табл. 1).</w:t>
      </w:r>
    </w:p>
    <w:p w:rsidR="00034736" w:rsidRPr="003970EC" w:rsidRDefault="00034736" w:rsidP="00673E12">
      <w:pPr>
        <w:spacing w:after="0" w:line="360" w:lineRule="auto"/>
        <w:ind w:firstLine="709"/>
        <w:jc w:val="right"/>
        <w:rPr>
          <w:rFonts w:ascii="Times New Roman" w:hAnsi="Times New Roman" w:cs="Times New Roman"/>
          <w:sz w:val="24"/>
          <w:szCs w:val="24"/>
        </w:rPr>
      </w:pPr>
      <w:r w:rsidRPr="003970EC">
        <w:rPr>
          <w:rFonts w:ascii="Times New Roman" w:hAnsi="Times New Roman" w:cs="Times New Roman"/>
          <w:sz w:val="24"/>
          <w:szCs w:val="24"/>
        </w:rPr>
        <w:t xml:space="preserve">                                                                                                                          Таблица</w:t>
      </w:r>
      <w:r w:rsidR="000C6AFF" w:rsidRPr="003970EC">
        <w:rPr>
          <w:rFonts w:ascii="Times New Roman" w:hAnsi="Times New Roman" w:cs="Times New Roman"/>
          <w:sz w:val="24"/>
          <w:szCs w:val="24"/>
        </w:rPr>
        <w:t xml:space="preserve"> 1</w:t>
      </w:r>
    </w:p>
    <w:p w:rsidR="00034736" w:rsidRPr="00673E12" w:rsidRDefault="00034736" w:rsidP="00673E12">
      <w:pPr>
        <w:spacing w:after="0" w:line="360" w:lineRule="auto"/>
        <w:ind w:firstLine="709"/>
        <w:jc w:val="center"/>
        <w:rPr>
          <w:rFonts w:ascii="Times New Roman" w:hAnsi="Times New Roman" w:cs="Times New Roman"/>
          <w:b/>
          <w:bCs/>
          <w:sz w:val="24"/>
          <w:szCs w:val="24"/>
        </w:rPr>
      </w:pPr>
      <w:r w:rsidRPr="00673E12">
        <w:rPr>
          <w:rFonts w:ascii="Times New Roman" w:hAnsi="Times New Roman" w:cs="Times New Roman"/>
          <w:b/>
          <w:bCs/>
          <w:sz w:val="24"/>
          <w:szCs w:val="24"/>
        </w:rPr>
        <w:t>Динамика показателей гигиены и состояния тканей пародонта у  обследуемых</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400"/>
        <w:gridCol w:w="1886"/>
        <w:gridCol w:w="1862"/>
        <w:gridCol w:w="1911"/>
        <w:gridCol w:w="1887"/>
      </w:tblGrid>
      <w:tr w:rsidR="00034736" w:rsidRPr="003970EC">
        <w:trPr>
          <w:trHeight w:val="315"/>
        </w:trPr>
        <w:tc>
          <w:tcPr>
            <w:tcW w:w="1400" w:type="dxa"/>
            <w:vMerge w:val="restart"/>
            <w:tcBorders>
              <w:top w:val="single" w:sz="4" w:space="0" w:color="auto"/>
            </w:tcBorders>
            <w:vAlign w:val="center"/>
          </w:tcPr>
          <w:p w:rsidR="00034736" w:rsidRPr="003970EC" w:rsidRDefault="00034736" w:rsidP="00FE09CB">
            <w:pPr>
              <w:spacing w:after="0" w:line="360" w:lineRule="auto"/>
              <w:jc w:val="center"/>
              <w:rPr>
                <w:rFonts w:ascii="Times New Roman" w:hAnsi="Times New Roman" w:cs="Times New Roman"/>
                <w:sz w:val="24"/>
                <w:szCs w:val="24"/>
              </w:rPr>
            </w:pPr>
            <w:r w:rsidRPr="003970EC">
              <w:rPr>
                <w:rFonts w:ascii="Times New Roman" w:hAnsi="Times New Roman" w:cs="Times New Roman"/>
                <w:sz w:val="24"/>
                <w:szCs w:val="24"/>
              </w:rPr>
              <w:t>индексы</w:t>
            </w:r>
            <w:r w:rsidR="000C6AFF" w:rsidRPr="003970EC">
              <w:rPr>
                <w:rFonts w:ascii="Times New Roman" w:hAnsi="Times New Roman" w:cs="Times New Roman"/>
                <w:sz w:val="24"/>
                <w:szCs w:val="24"/>
              </w:rPr>
              <w:t xml:space="preserve"> </w:t>
            </w:r>
            <w:r w:rsidRPr="003970EC">
              <w:rPr>
                <w:rFonts w:ascii="Times New Roman" w:hAnsi="Times New Roman" w:cs="Times New Roman"/>
                <w:sz w:val="24"/>
                <w:szCs w:val="24"/>
              </w:rPr>
              <w:t>(усл. ед.)</w:t>
            </w:r>
          </w:p>
        </w:tc>
        <w:tc>
          <w:tcPr>
            <w:tcW w:w="3748" w:type="dxa"/>
            <w:gridSpan w:val="2"/>
            <w:tcBorders>
              <w:top w:val="single" w:sz="4" w:space="0" w:color="auto"/>
            </w:tcBorders>
            <w:vAlign w:val="center"/>
          </w:tcPr>
          <w:p w:rsidR="00034736" w:rsidRPr="003970EC" w:rsidRDefault="000C6AFF" w:rsidP="00FE09CB">
            <w:pPr>
              <w:spacing w:after="0" w:line="360" w:lineRule="auto"/>
              <w:ind w:firstLine="709"/>
              <w:jc w:val="center"/>
              <w:rPr>
                <w:rFonts w:ascii="Times New Roman" w:hAnsi="Times New Roman" w:cs="Times New Roman"/>
                <w:sz w:val="24"/>
                <w:szCs w:val="24"/>
              </w:rPr>
            </w:pPr>
            <w:r w:rsidRPr="003970EC">
              <w:rPr>
                <w:rFonts w:ascii="Times New Roman" w:hAnsi="Times New Roman" w:cs="Times New Roman"/>
                <w:sz w:val="24"/>
                <w:szCs w:val="24"/>
              </w:rPr>
              <w:t>основная группа, n = 24</w:t>
            </w:r>
          </w:p>
        </w:tc>
        <w:tc>
          <w:tcPr>
            <w:tcW w:w="3798" w:type="dxa"/>
            <w:gridSpan w:val="2"/>
            <w:tcBorders>
              <w:top w:val="single" w:sz="4" w:space="0" w:color="auto"/>
            </w:tcBorders>
            <w:vAlign w:val="center"/>
          </w:tcPr>
          <w:p w:rsidR="00034736" w:rsidRPr="003970EC" w:rsidRDefault="00034736" w:rsidP="00FE09CB">
            <w:pPr>
              <w:spacing w:after="0" w:line="360" w:lineRule="auto"/>
              <w:ind w:firstLine="709"/>
              <w:jc w:val="center"/>
              <w:rPr>
                <w:rFonts w:ascii="Times New Roman" w:hAnsi="Times New Roman" w:cs="Times New Roman"/>
                <w:sz w:val="24"/>
                <w:szCs w:val="24"/>
              </w:rPr>
            </w:pPr>
            <w:r w:rsidRPr="003970EC">
              <w:rPr>
                <w:rFonts w:ascii="Times New Roman" w:hAnsi="Times New Roman" w:cs="Times New Roman"/>
                <w:sz w:val="24"/>
                <w:szCs w:val="24"/>
              </w:rPr>
              <w:t>группа сравнения</w:t>
            </w:r>
            <w:r w:rsidR="000C6AFF" w:rsidRPr="003970EC">
              <w:rPr>
                <w:rFonts w:ascii="Times New Roman" w:hAnsi="Times New Roman" w:cs="Times New Roman"/>
                <w:sz w:val="24"/>
                <w:szCs w:val="24"/>
              </w:rPr>
              <w:t>, n = 26</w:t>
            </w:r>
          </w:p>
        </w:tc>
      </w:tr>
      <w:tr w:rsidR="00034736" w:rsidRPr="003970EC">
        <w:trPr>
          <w:trHeight w:val="338"/>
        </w:trPr>
        <w:tc>
          <w:tcPr>
            <w:tcW w:w="1400" w:type="dxa"/>
            <w:vMerge/>
            <w:vAlign w:val="center"/>
          </w:tcPr>
          <w:p w:rsidR="00034736" w:rsidRPr="003970EC" w:rsidRDefault="00034736" w:rsidP="00FE09CB">
            <w:pPr>
              <w:spacing w:after="0" w:line="360" w:lineRule="auto"/>
              <w:ind w:firstLine="709"/>
              <w:jc w:val="center"/>
              <w:rPr>
                <w:rFonts w:ascii="Times New Roman" w:hAnsi="Times New Roman" w:cs="Times New Roman"/>
                <w:sz w:val="24"/>
                <w:szCs w:val="24"/>
              </w:rPr>
            </w:pPr>
          </w:p>
        </w:tc>
        <w:tc>
          <w:tcPr>
            <w:tcW w:w="1886" w:type="dxa"/>
            <w:vAlign w:val="center"/>
          </w:tcPr>
          <w:p w:rsidR="00034736" w:rsidRPr="003970EC" w:rsidRDefault="00034736" w:rsidP="00FE09CB">
            <w:pPr>
              <w:spacing w:after="0" w:line="360" w:lineRule="auto"/>
              <w:ind w:firstLine="40"/>
              <w:jc w:val="center"/>
              <w:rPr>
                <w:rFonts w:ascii="Times New Roman" w:hAnsi="Times New Roman" w:cs="Times New Roman"/>
                <w:sz w:val="24"/>
                <w:szCs w:val="24"/>
              </w:rPr>
            </w:pPr>
            <w:r w:rsidRPr="003970EC">
              <w:rPr>
                <w:rFonts w:ascii="Times New Roman" w:hAnsi="Times New Roman" w:cs="Times New Roman"/>
                <w:sz w:val="24"/>
                <w:szCs w:val="24"/>
              </w:rPr>
              <w:t>до лечения</w:t>
            </w:r>
          </w:p>
        </w:tc>
        <w:tc>
          <w:tcPr>
            <w:tcW w:w="1862" w:type="dxa"/>
            <w:vAlign w:val="center"/>
          </w:tcPr>
          <w:p w:rsidR="00034736" w:rsidRPr="003970EC" w:rsidRDefault="00034736" w:rsidP="00FE09CB">
            <w:pPr>
              <w:spacing w:after="0" w:line="360" w:lineRule="auto"/>
              <w:jc w:val="center"/>
              <w:rPr>
                <w:rFonts w:ascii="Times New Roman" w:hAnsi="Times New Roman" w:cs="Times New Roman"/>
                <w:sz w:val="24"/>
                <w:szCs w:val="24"/>
              </w:rPr>
            </w:pPr>
            <w:r w:rsidRPr="003970EC">
              <w:rPr>
                <w:rFonts w:ascii="Times New Roman" w:hAnsi="Times New Roman" w:cs="Times New Roman"/>
                <w:sz w:val="24"/>
                <w:szCs w:val="24"/>
              </w:rPr>
              <w:t>после лечения</w:t>
            </w:r>
          </w:p>
        </w:tc>
        <w:tc>
          <w:tcPr>
            <w:tcW w:w="1911" w:type="dxa"/>
            <w:vAlign w:val="center"/>
          </w:tcPr>
          <w:p w:rsidR="00034736" w:rsidRPr="003970EC" w:rsidRDefault="00034736" w:rsidP="00FE09CB">
            <w:pPr>
              <w:spacing w:after="0" w:line="360" w:lineRule="auto"/>
              <w:ind w:firstLine="47"/>
              <w:jc w:val="center"/>
              <w:rPr>
                <w:rFonts w:ascii="Times New Roman" w:hAnsi="Times New Roman" w:cs="Times New Roman"/>
                <w:sz w:val="24"/>
                <w:szCs w:val="24"/>
              </w:rPr>
            </w:pPr>
            <w:r w:rsidRPr="003970EC">
              <w:rPr>
                <w:rFonts w:ascii="Times New Roman" w:hAnsi="Times New Roman" w:cs="Times New Roman"/>
                <w:sz w:val="24"/>
                <w:szCs w:val="24"/>
              </w:rPr>
              <w:t>до лечения</w:t>
            </w:r>
          </w:p>
        </w:tc>
        <w:tc>
          <w:tcPr>
            <w:tcW w:w="1887" w:type="dxa"/>
            <w:vAlign w:val="center"/>
          </w:tcPr>
          <w:p w:rsidR="00034736" w:rsidRPr="003970EC" w:rsidRDefault="00034736" w:rsidP="00FE09CB">
            <w:pPr>
              <w:spacing w:after="0" w:line="360" w:lineRule="auto"/>
              <w:jc w:val="center"/>
              <w:rPr>
                <w:rFonts w:ascii="Times New Roman" w:hAnsi="Times New Roman" w:cs="Times New Roman"/>
                <w:sz w:val="24"/>
                <w:szCs w:val="24"/>
              </w:rPr>
            </w:pPr>
            <w:r w:rsidRPr="003970EC">
              <w:rPr>
                <w:rFonts w:ascii="Times New Roman" w:hAnsi="Times New Roman" w:cs="Times New Roman"/>
                <w:sz w:val="24"/>
                <w:szCs w:val="24"/>
              </w:rPr>
              <w:t>после лечения</w:t>
            </w:r>
          </w:p>
        </w:tc>
      </w:tr>
      <w:tr w:rsidR="00034736" w:rsidRPr="003970EC">
        <w:trPr>
          <w:trHeight w:val="332"/>
        </w:trPr>
        <w:tc>
          <w:tcPr>
            <w:tcW w:w="1400" w:type="dxa"/>
            <w:vAlign w:val="center"/>
          </w:tcPr>
          <w:p w:rsidR="00034736" w:rsidRPr="003970EC" w:rsidRDefault="00034736" w:rsidP="00FE09CB">
            <w:pPr>
              <w:spacing w:after="0" w:line="360" w:lineRule="auto"/>
              <w:jc w:val="center"/>
              <w:rPr>
                <w:rFonts w:ascii="Times New Roman" w:hAnsi="Times New Roman" w:cs="Times New Roman"/>
                <w:sz w:val="24"/>
                <w:szCs w:val="24"/>
              </w:rPr>
            </w:pPr>
            <w:r w:rsidRPr="003970EC">
              <w:rPr>
                <w:rFonts w:ascii="Times New Roman" w:hAnsi="Times New Roman" w:cs="Times New Roman"/>
                <w:sz w:val="24"/>
                <w:szCs w:val="24"/>
              </w:rPr>
              <w:t>OHI-S</w:t>
            </w:r>
          </w:p>
        </w:tc>
        <w:tc>
          <w:tcPr>
            <w:tcW w:w="1886" w:type="dxa"/>
            <w:vAlign w:val="center"/>
          </w:tcPr>
          <w:p w:rsidR="00034736" w:rsidRPr="003970EC" w:rsidRDefault="00034736" w:rsidP="00FE09CB">
            <w:pPr>
              <w:spacing w:after="0" w:line="360" w:lineRule="auto"/>
              <w:ind w:firstLine="40"/>
              <w:jc w:val="center"/>
              <w:rPr>
                <w:rFonts w:ascii="Times New Roman" w:hAnsi="Times New Roman" w:cs="Times New Roman"/>
                <w:sz w:val="24"/>
                <w:szCs w:val="24"/>
              </w:rPr>
            </w:pPr>
            <w:r w:rsidRPr="003970EC">
              <w:rPr>
                <w:rFonts w:ascii="Times New Roman" w:hAnsi="Times New Roman" w:cs="Times New Roman"/>
                <w:sz w:val="24"/>
                <w:szCs w:val="24"/>
              </w:rPr>
              <w:t>2,4±0,10</w:t>
            </w:r>
          </w:p>
        </w:tc>
        <w:tc>
          <w:tcPr>
            <w:tcW w:w="1862" w:type="dxa"/>
            <w:vAlign w:val="center"/>
          </w:tcPr>
          <w:p w:rsidR="00034736" w:rsidRPr="003970EC" w:rsidRDefault="00034736" w:rsidP="00FE09CB">
            <w:pPr>
              <w:spacing w:after="0" w:line="360" w:lineRule="auto"/>
              <w:jc w:val="center"/>
              <w:rPr>
                <w:rFonts w:ascii="Times New Roman" w:hAnsi="Times New Roman" w:cs="Times New Roman"/>
                <w:sz w:val="24"/>
                <w:szCs w:val="24"/>
              </w:rPr>
            </w:pPr>
            <w:r w:rsidRPr="003970EC">
              <w:rPr>
                <w:rFonts w:ascii="Times New Roman" w:hAnsi="Times New Roman" w:cs="Times New Roman"/>
                <w:sz w:val="24"/>
                <w:szCs w:val="24"/>
              </w:rPr>
              <w:t>0,65±0,03 *</w:t>
            </w:r>
          </w:p>
        </w:tc>
        <w:tc>
          <w:tcPr>
            <w:tcW w:w="1911" w:type="dxa"/>
            <w:vAlign w:val="center"/>
          </w:tcPr>
          <w:p w:rsidR="00034736" w:rsidRPr="003970EC" w:rsidRDefault="00034736" w:rsidP="00FE09CB">
            <w:pPr>
              <w:spacing w:after="0" w:line="360" w:lineRule="auto"/>
              <w:ind w:firstLine="47"/>
              <w:jc w:val="center"/>
              <w:rPr>
                <w:rFonts w:ascii="Times New Roman" w:hAnsi="Times New Roman" w:cs="Times New Roman"/>
                <w:sz w:val="24"/>
                <w:szCs w:val="24"/>
              </w:rPr>
            </w:pPr>
            <w:r w:rsidRPr="003970EC">
              <w:rPr>
                <w:rFonts w:ascii="Times New Roman" w:hAnsi="Times New Roman" w:cs="Times New Roman"/>
                <w:sz w:val="24"/>
                <w:szCs w:val="24"/>
              </w:rPr>
              <w:t>2,2±0.1</w:t>
            </w:r>
          </w:p>
        </w:tc>
        <w:tc>
          <w:tcPr>
            <w:tcW w:w="1887" w:type="dxa"/>
            <w:vAlign w:val="center"/>
          </w:tcPr>
          <w:p w:rsidR="00034736" w:rsidRPr="003970EC" w:rsidRDefault="00034736" w:rsidP="00FE09CB">
            <w:pPr>
              <w:spacing w:after="0" w:line="360" w:lineRule="auto"/>
              <w:jc w:val="center"/>
              <w:rPr>
                <w:rFonts w:ascii="Times New Roman" w:hAnsi="Times New Roman" w:cs="Times New Roman"/>
                <w:sz w:val="24"/>
                <w:szCs w:val="24"/>
              </w:rPr>
            </w:pPr>
            <w:r w:rsidRPr="003970EC">
              <w:rPr>
                <w:rFonts w:ascii="Times New Roman" w:hAnsi="Times New Roman" w:cs="Times New Roman"/>
                <w:sz w:val="24"/>
                <w:szCs w:val="24"/>
              </w:rPr>
              <w:t>1.2±0.1*</w:t>
            </w:r>
          </w:p>
        </w:tc>
      </w:tr>
      <w:tr w:rsidR="00034736" w:rsidRPr="003970EC">
        <w:trPr>
          <w:trHeight w:val="227"/>
        </w:trPr>
        <w:tc>
          <w:tcPr>
            <w:tcW w:w="1400" w:type="dxa"/>
            <w:vAlign w:val="center"/>
          </w:tcPr>
          <w:p w:rsidR="00034736" w:rsidRPr="003970EC" w:rsidRDefault="00034736" w:rsidP="00FE09CB">
            <w:pPr>
              <w:spacing w:after="0" w:line="360" w:lineRule="auto"/>
              <w:jc w:val="center"/>
              <w:rPr>
                <w:rFonts w:ascii="Times New Roman" w:hAnsi="Times New Roman" w:cs="Times New Roman"/>
                <w:sz w:val="24"/>
                <w:szCs w:val="24"/>
              </w:rPr>
            </w:pPr>
            <w:r w:rsidRPr="003970EC">
              <w:rPr>
                <w:rFonts w:ascii="Times New Roman" w:hAnsi="Times New Roman" w:cs="Times New Roman"/>
                <w:sz w:val="24"/>
                <w:szCs w:val="24"/>
              </w:rPr>
              <w:t>PMA</w:t>
            </w:r>
          </w:p>
        </w:tc>
        <w:tc>
          <w:tcPr>
            <w:tcW w:w="1886" w:type="dxa"/>
            <w:vAlign w:val="center"/>
          </w:tcPr>
          <w:p w:rsidR="00034736" w:rsidRPr="003970EC" w:rsidRDefault="00034736" w:rsidP="00FE09CB">
            <w:pPr>
              <w:spacing w:after="0" w:line="360" w:lineRule="auto"/>
              <w:ind w:firstLine="40"/>
              <w:jc w:val="center"/>
              <w:rPr>
                <w:rFonts w:ascii="Times New Roman" w:hAnsi="Times New Roman" w:cs="Times New Roman"/>
                <w:sz w:val="24"/>
                <w:szCs w:val="24"/>
              </w:rPr>
            </w:pPr>
            <w:r w:rsidRPr="003970EC">
              <w:rPr>
                <w:rFonts w:ascii="Times New Roman" w:hAnsi="Times New Roman" w:cs="Times New Roman"/>
                <w:sz w:val="24"/>
                <w:szCs w:val="24"/>
              </w:rPr>
              <w:t>28,3±0,10</w:t>
            </w:r>
          </w:p>
        </w:tc>
        <w:tc>
          <w:tcPr>
            <w:tcW w:w="1862" w:type="dxa"/>
            <w:vAlign w:val="center"/>
          </w:tcPr>
          <w:p w:rsidR="00034736" w:rsidRPr="003970EC" w:rsidRDefault="00034736" w:rsidP="00FE09CB">
            <w:pPr>
              <w:spacing w:after="0" w:line="360" w:lineRule="auto"/>
              <w:jc w:val="center"/>
              <w:rPr>
                <w:rFonts w:ascii="Times New Roman" w:hAnsi="Times New Roman" w:cs="Times New Roman"/>
                <w:sz w:val="24"/>
                <w:szCs w:val="24"/>
              </w:rPr>
            </w:pPr>
            <w:r w:rsidRPr="003970EC">
              <w:rPr>
                <w:rFonts w:ascii="Times New Roman" w:hAnsi="Times New Roman" w:cs="Times New Roman"/>
                <w:sz w:val="24"/>
                <w:szCs w:val="24"/>
              </w:rPr>
              <w:t>5,4±0,30*</w:t>
            </w:r>
          </w:p>
        </w:tc>
        <w:tc>
          <w:tcPr>
            <w:tcW w:w="1911" w:type="dxa"/>
            <w:vAlign w:val="center"/>
          </w:tcPr>
          <w:p w:rsidR="00034736" w:rsidRPr="003970EC" w:rsidRDefault="00034736" w:rsidP="00FE09CB">
            <w:pPr>
              <w:spacing w:after="0" w:line="360" w:lineRule="auto"/>
              <w:ind w:firstLine="47"/>
              <w:jc w:val="center"/>
              <w:rPr>
                <w:rFonts w:ascii="Times New Roman" w:hAnsi="Times New Roman" w:cs="Times New Roman"/>
                <w:sz w:val="24"/>
                <w:szCs w:val="24"/>
              </w:rPr>
            </w:pPr>
            <w:r w:rsidRPr="003970EC">
              <w:rPr>
                <w:rFonts w:ascii="Times New Roman" w:hAnsi="Times New Roman" w:cs="Times New Roman"/>
                <w:sz w:val="24"/>
                <w:szCs w:val="24"/>
              </w:rPr>
              <w:t>26,5±0,1</w:t>
            </w:r>
          </w:p>
        </w:tc>
        <w:tc>
          <w:tcPr>
            <w:tcW w:w="1887" w:type="dxa"/>
            <w:vAlign w:val="center"/>
          </w:tcPr>
          <w:p w:rsidR="00034736" w:rsidRPr="003970EC" w:rsidRDefault="00034736" w:rsidP="00FE09CB">
            <w:pPr>
              <w:spacing w:after="0" w:line="360" w:lineRule="auto"/>
              <w:jc w:val="center"/>
              <w:rPr>
                <w:rFonts w:ascii="Times New Roman" w:hAnsi="Times New Roman" w:cs="Times New Roman"/>
                <w:sz w:val="24"/>
                <w:szCs w:val="24"/>
              </w:rPr>
            </w:pPr>
            <w:r w:rsidRPr="003970EC">
              <w:rPr>
                <w:rFonts w:ascii="Times New Roman" w:hAnsi="Times New Roman" w:cs="Times New Roman"/>
                <w:sz w:val="24"/>
                <w:szCs w:val="24"/>
              </w:rPr>
              <w:t>11,4±0,2*  **</w:t>
            </w:r>
          </w:p>
        </w:tc>
      </w:tr>
      <w:tr w:rsidR="00034736" w:rsidRPr="003970EC">
        <w:trPr>
          <w:trHeight w:val="227"/>
        </w:trPr>
        <w:tc>
          <w:tcPr>
            <w:tcW w:w="1400" w:type="dxa"/>
            <w:vAlign w:val="center"/>
          </w:tcPr>
          <w:p w:rsidR="00034736" w:rsidRPr="003970EC" w:rsidRDefault="00034736" w:rsidP="00FE09CB">
            <w:pPr>
              <w:spacing w:after="0" w:line="360" w:lineRule="auto"/>
              <w:jc w:val="center"/>
              <w:rPr>
                <w:rFonts w:ascii="Times New Roman" w:hAnsi="Times New Roman" w:cs="Times New Roman"/>
                <w:sz w:val="24"/>
                <w:szCs w:val="24"/>
              </w:rPr>
            </w:pPr>
            <w:r w:rsidRPr="003970EC">
              <w:rPr>
                <w:rFonts w:ascii="Times New Roman" w:hAnsi="Times New Roman" w:cs="Times New Roman"/>
                <w:sz w:val="24"/>
                <w:szCs w:val="24"/>
              </w:rPr>
              <w:t>SBI</w:t>
            </w:r>
          </w:p>
        </w:tc>
        <w:tc>
          <w:tcPr>
            <w:tcW w:w="1886" w:type="dxa"/>
            <w:vAlign w:val="center"/>
          </w:tcPr>
          <w:p w:rsidR="00034736" w:rsidRPr="003970EC" w:rsidRDefault="00034736" w:rsidP="00FE09CB">
            <w:pPr>
              <w:spacing w:after="0" w:line="360" w:lineRule="auto"/>
              <w:ind w:firstLine="40"/>
              <w:jc w:val="center"/>
              <w:rPr>
                <w:rFonts w:ascii="Times New Roman" w:hAnsi="Times New Roman" w:cs="Times New Roman"/>
                <w:sz w:val="24"/>
                <w:szCs w:val="24"/>
              </w:rPr>
            </w:pPr>
            <w:r w:rsidRPr="003970EC">
              <w:rPr>
                <w:rFonts w:ascii="Times New Roman" w:hAnsi="Times New Roman" w:cs="Times New Roman"/>
                <w:sz w:val="24"/>
                <w:szCs w:val="24"/>
              </w:rPr>
              <w:t>1,39±0,09</w:t>
            </w:r>
          </w:p>
        </w:tc>
        <w:tc>
          <w:tcPr>
            <w:tcW w:w="1862" w:type="dxa"/>
            <w:vAlign w:val="center"/>
          </w:tcPr>
          <w:p w:rsidR="00034736" w:rsidRPr="003970EC" w:rsidRDefault="00034736" w:rsidP="00FE09CB">
            <w:pPr>
              <w:spacing w:after="0" w:line="360" w:lineRule="auto"/>
              <w:jc w:val="center"/>
              <w:rPr>
                <w:rFonts w:ascii="Times New Roman" w:hAnsi="Times New Roman" w:cs="Times New Roman"/>
                <w:sz w:val="24"/>
                <w:szCs w:val="24"/>
              </w:rPr>
            </w:pPr>
            <w:r w:rsidRPr="003970EC">
              <w:rPr>
                <w:rFonts w:ascii="Times New Roman" w:hAnsi="Times New Roman" w:cs="Times New Roman"/>
                <w:sz w:val="24"/>
                <w:szCs w:val="24"/>
              </w:rPr>
              <w:t>0,34±0,05*</w:t>
            </w:r>
          </w:p>
        </w:tc>
        <w:tc>
          <w:tcPr>
            <w:tcW w:w="1911" w:type="dxa"/>
            <w:vAlign w:val="center"/>
          </w:tcPr>
          <w:p w:rsidR="00034736" w:rsidRPr="003970EC" w:rsidRDefault="00034736" w:rsidP="00FE09CB">
            <w:pPr>
              <w:spacing w:after="0" w:line="360" w:lineRule="auto"/>
              <w:ind w:firstLine="47"/>
              <w:jc w:val="center"/>
              <w:rPr>
                <w:rFonts w:ascii="Times New Roman" w:hAnsi="Times New Roman" w:cs="Times New Roman"/>
                <w:sz w:val="24"/>
                <w:szCs w:val="24"/>
              </w:rPr>
            </w:pPr>
            <w:r w:rsidRPr="003970EC">
              <w:rPr>
                <w:rFonts w:ascii="Times New Roman" w:hAnsi="Times New Roman" w:cs="Times New Roman"/>
                <w:sz w:val="24"/>
                <w:szCs w:val="24"/>
              </w:rPr>
              <w:t>1,48±0,08</w:t>
            </w:r>
          </w:p>
        </w:tc>
        <w:tc>
          <w:tcPr>
            <w:tcW w:w="1887" w:type="dxa"/>
            <w:vAlign w:val="center"/>
          </w:tcPr>
          <w:p w:rsidR="00034736" w:rsidRPr="003970EC" w:rsidRDefault="00034736" w:rsidP="00FE09CB">
            <w:pPr>
              <w:spacing w:after="0" w:line="360" w:lineRule="auto"/>
              <w:jc w:val="center"/>
              <w:rPr>
                <w:rFonts w:ascii="Times New Roman" w:hAnsi="Times New Roman" w:cs="Times New Roman"/>
                <w:sz w:val="24"/>
                <w:szCs w:val="24"/>
              </w:rPr>
            </w:pPr>
            <w:r w:rsidRPr="003970EC">
              <w:rPr>
                <w:rFonts w:ascii="Times New Roman" w:hAnsi="Times New Roman" w:cs="Times New Roman"/>
                <w:sz w:val="24"/>
                <w:szCs w:val="24"/>
              </w:rPr>
              <w:t>0,96±0,04*  **</w:t>
            </w:r>
          </w:p>
        </w:tc>
      </w:tr>
      <w:tr w:rsidR="00034736" w:rsidRPr="003970EC">
        <w:trPr>
          <w:trHeight w:val="272"/>
        </w:trPr>
        <w:tc>
          <w:tcPr>
            <w:tcW w:w="1400" w:type="dxa"/>
            <w:tcBorders>
              <w:bottom w:val="single" w:sz="4" w:space="0" w:color="auto"/>
            </w:tcBorders>
            <w:vAlign w:val="center"/>
          </w:tcPr>
          <w:p w:rsidR="00034736" w:rsidRPr="003970EC" w:rsidRDefault="00034736" w:rsidP="00FE09CB">
            <w:pPr>
              <w:spacing w:after="0" w:line="360" w:lineRule="auto"/>
              <w:jc w:val="center"/>
              <w:rPr>
                <w:rFonts w:ascii="Times New Roman" w:hAnsi="Times New Roman" w:cs="Times New Roman"/>
                <w:sz w:val="24"/>
                <w:szCs w:val="24"/>
              </w:rPr>
            </w:pPr>
            <w:r w:rsidRPr="003970EC">
              <w:rPr>
                <w:rFonts w:ascii="Times New Roman" w:hAnsi="Times New Roman" w:cs="Times New Roman"/>
                <w:sz w:val="24"/>
                <w:szCs w:val="24"/>
              </w:rPr>
              <w:t>CPITN</w:t>
            </w:r>
          </w:p>
        </w:tc>
        <w:tc>
          <w:tcPr>
            <w:tcW w:w="1886" w:type="dxa"/>
            <w:tcBorders>
              <w:bottom w:val="single" w:sz="4" w:space="0" w:color="auto"/>
            </w:tcBorders>
            <w:vAlign w:val="center"/>
          </w:tcPr>
          <w:p w:rsidR="00034736" w:rsidRPr="003970EC" w:rsidRDefault="00034736" w:rsidP="00FE09CB">
            <w:pPr>
              <w:spacing w:after="0" w:line="360" w:lineRule="auto"/>
              <w:ind w:firstLine="40"/>
              <w:jc w:val="center"/>
              <w:rPr>
                <w:rFonts w:ascii="Times New Roman" w:hAnsi="Times New Roman" w:cs="Times New Roman"/>
                <w:sz w:val="24"/>
                <w:szCs w:val="24"/>
              </w:rPr>
            </w:pPr>
            <w:r w:rsidRPr="003970EC">
              <w:rPr>
                <w:rFonts w:ascii="Times New Roman" w:hAnsi="Times New Roman" w:cs="Times New Roman"/>
                <w:sz w:val="24"/>
                <w:szCs w:val="24"/>
              </w:rPr>
              <w:t>2,7±0,12</w:t>
            </w:r>
          </w:p>
        </w:tc>
        <w:tc>
          <w:tcPr>
            <w:tcW w:w="1862" w:type="dxa"/>
            <w:tcBorders>
              <w:bottom w:val="single" w:sz="4" w:space="0" w:color="auto"/>
            </w:tcBorders>
            <w:vAlign w:val="center"/>
          </w:tcPr>
          <w:p w:rsidR="00034736" w:rsidRPr="003970EC" w:rsidRDefault="00034736" w:rsidP="00FE09CB">
            <w:pPr>
              <w:spacing w:after="0" w:line="360" w:lineRule="auto"/>
              <w:jc w:val="center"/>
              <w:rPr>
                <w:rFonts w:ascii="Times New Roman" w:hAnsi="Times New Roman" w:cs="Times New Roman"/>
                <w:sz w:val="24"/>
                <w:szCs w:val="24"/>
              </w:rPr>
            </w:pPr>
            <w:r w:rsidRPr="003970EC">
              <w:rPr>
                <w:rFonts w:ascii="Times New Roman" w:hAnsi="Times New Roman" w:cs="Times New Roman"/>
                <w:sz w:val="24"/>
                <w:szCs w:val="24"/>
              </w:rPr>
              <w:t>0,86±0,08*</w:t>
            </w:r>
          </w:p>
        </w:tc>
        <w:tc>
          <w:tcPr>
            <w:tcW w:w="1911" w:type="dxa"/>
            <w:tcBorders>
              <w:bottom w:val="single" w:sz="4" w:space="0" w:color="auto"/>
            </w:tcBorders>
            <w:vAlign w:val="center"/>
          </w:tcPr>
          <w:p w:rsidR="00034736" w:rsidRPr="003970EC" w:rsidRDefault="00034736" w:rsidP="00FE09CB">
            <w:pPr>
              <w:spacing w:after="0" w:line="360" w:lineRule="auto"/>
              <w:ind w:firstLine="47"/>
              <w:jc w:val="center"/>
              <w:rPr>
                <w:rFonts w:ascii="Times New Roman" w:hAnsi="Times New Roman" w:cs="Times New Roman"/>
                <w:sz w:val="24"/>
                <w:szCs w:val="24"/>
              </w:rPr>
            </w:pPr>
            <w:r w:rsidRPr="003970EC">
              <w:rPr>
                <w:rFonts w:ascii="Times New Roman" w:hAnsi="Times New Roman" w:cs="Times New Roman"/>
                <w:sz w:val="24"/>
                <w:szCs w:val="24"/>
              </w:rPr>
              <w:t>2,6±0,12</w:t>
            </w:r>
          </w:p>
        </w:tc>
        <w:tc>
          <w:tcPr>
            <w:tcW w:w="1887" w:type="dxa"/>
            <w:tcBorders>
              <w:bottom w:val="single" w:sz="4" w:space="0" w:color="auto"/>
            </w:tcBorders>
            <w:vAlign w:val="center"/>
          </w:tcPr>
          <w:p w:rsidR="00034736" w:rsidRPr="003970EC" w:rsidRDefault="00034736" w:rsidP="00FE09CB">
            <w:pPr>
              <w:spacing w:after="0" w:line="360" w:lineRule="auto"/>
              <w:jc w:val="center"/>
              <w:rPr>
                <w:rFonts w:ascii="Times New Roman" w:hAnsi="Times New Roman" w:cs="Times New Roman"/>
                <w:sz w:val="24"/>
                <w:szCs w:val="24"/>
              </w:rPr>
            </w:pPr>
            <w:r w:rsidRPr="003970EC">
              <w:rPr>
                <w:rFonts w:ascii="Times New Roman" w:hAnsi="Times New Roman" w:cs="Times New Roman"/>
                <w:sz w:val="24"/>
                <w:szCs w:val="24"/>
              </w:rPr>
              <w:t>1,37±0,15*  **</w:t>
            </w:r>
          </w:p>
        </w:tc>
      </w:tr>
    </w:tbl>
    <w:p w:rsidR="00034736" w:rsidRPr="003970EC" w:rsidRDefault="00034736" w:rsidP="00673E12">
      <w:pPr>
        <w:spacing w:after="0" w:line="360" w:lineRule="auto"/>
        <w:ind w:firstLine="709"/>
        <w:jc w:val="both"/>
        <w:rPr>
          <w:rFonts w:ascii="Times New Roman" w:hAnsi="Times New Roman" w:cs="Times New Roman"/>
          <w:sz w:val="24"/>
          <w:szCs w:val="24"/>
        </w:rPr>
      </w:pPr>
      <w:r w:rsidRPr="003970EC">
        <w:rPr>
          <w:rFonts w:ascii="Times New Roman" w:hAnsi="Times New Roman" w:cs="Times New Roman"/>
          <w:sz w:val="24"/>
          <w:szCs w:val="24"/>
        </w:rPr>
        <w:t>* – достоверность различий показателей в группах до и после лечения</w:t>
      </w:r>
      <w:r w:rsidR="000C6AFF" w:rsidRPr="003970EC">
        <w:rPr>
          <w:rFonts w:ascii="Times New Roman" w:hAnsi="Times New Roman" w:cs="Times New Roman"/>
          <w:sz w:val="24"/>
          <w:szCs w:val="24"/>
        </w:rPr>
        <w:t xml:space="preserve"> (р</w:t>
      </w:r>
      <w:r w:rsidR="000C6AFF" w:rsidRPr="003970EC">
        <w:rPr>
          <w:rFonts w:ascii="Times New Roman" w:hAnsi="Times New Roman" w:cs="Times New Roman"/>
          <w:sz w:val="24"/>
          <w:szCs w:val="24"/>
        </w:rPr>
        <w:sym w:font="Symbol" w:char="F0A3"/>
      </w:r>
      <w:r w:rsidR="009A34A1" w:rsidRPr="003970EC">
        <w:rPr>
          <w:rFonts w:ascii="Times New Roman" w:hAnsi="Times New Roman" w:cs="Times New Roman"/>
          <w:sz w:val="24"/>
          <w:szCs w:val="24"/>
        </w:rPr>
        <w:t>0,05</w:t>
      </w:r>
      <w:r w:rsidR="000C6AFF" w:rsidRPr="003970EC">
        <w:rPr>
          <w:rFonts w:ascii="Times New Roman" w:hAnsi="Times New Roman" w:cs="Times New Roman"/>
          <w:sz w:val="24"/>
          <w:szCs w:val="24"/>
        </w:rPr>
        <w:t>)</w:t>
      </w:r>
      <w:r w:rsidRPr="003970EC">
        <w:rPr>
          <w:rFonts w:ascii="Times New Roman" w:hAnsi="Times New Roman" w:cs="Times New Roman"/>
          <w:sz w:val="24"/>
          <w:szCs w:val="24"/>
        </w:rPr>
        <w:t>; ** – достоверность различий показателей между группами</w:t>
      </w:r>
      <w:r w:rsidR="009A34A1" w:rsidRPr="003970EC">
        <w:rPr>
          <w:rFonts w:ascii="Times New Roman" w:hAnsi="Times New Roman" w:cs="Times New Roman"/>
          <w:sz w:val="24"/>
          <w:szCs w:val="24"/>
        </w:rPr>
        <w:t xml:space="preserve"> (р</w:t>
      </w:r>
      <w:r w:rsidR="009A34A1" w:rsidRPr="003970EC">
        <w:rPr>
          <w:rFonts w:ascii="Times New Roman" w:hAnsi="Times New Roman" w:cs="Times New Roman"/>
          <w:sz w:val="24"/>
          <w:szCs w:val="24"/>
        </w:rPr>
        <w:sym w:font="Symbol" w:char="F0A3"/>
      </w:r>
      <w:r w:rsidR="009A34A1" w:rsidRPr="003970EC">
        <w:rPr>
          <w:rFonts w:ascii="Times New Roman" w:hAnsi="Times New Roman" w:cs="Times New Roman"/>
          <w:sz w:val="24"/>
          <w:szCs w:val="24"/>
        </w:rPr>
        <w:t>0,05)</w:t>
      </w:r>
      <w:r w:rsidRPr="003970EC">
        <w:rPr>
          <w:rFonts w:ascii="Times New Roman" w:hAnsi="Times New Roman" w:cs="Times New Roman"/>
          <w:sz w:val="24"/>
          <w:szCs w:val="24"/>
        </w:rPr>
        <w:t xml:space="preserve"> </w:t>
      </w:r>
    </w:p>
    <w:p w:rsidR="00034736" w:rsidRPr="003970EC" w:rsidRDefault="00034736" w:rsidP="00673E12">
      <w:pPr>
        <w:spacing w:after="0" w:line="360" w:lineRule="auto"/>
        <w:ind w:firstLine="709"/>
        <w:jc w:val="both"/>
        <w:rPr>
          <w:rFonts w:ascii="Times New Roman" w:hAnsi="Times New Roman" w:cs="Times New Roman"/>
          <w:sz w:val="24"/>
          <w:szCs w:val="24"/>
        </w:rPr>
      </w:pPr>
      <w:r w:rsidRPr="003970EC">
        <w:rPr>
          <w:rFonts w:ascii="Times New Roman" w:hAnsi="Times New Roman" w:cs="Times New Roman"/>
          <w:sz w:val="24"/>
          <w:szCs w:val="24"/>
        </w:rPr>
        <w:t xml:space="preserve">При изучении исходных  количественных показателей состояния ротовой жидкости у студентов в основной группе  было установлено, что скорость продукции слюны у 16 (67%) обследованных была ниже нормы, индивидуальные показатели  варьировали от 0,3 до 0,6 мл/мин., среднее  значение было равно 0,41±0,08 мл/мин.   У  8 (33 %)   человек индивидуальные показатели СПС колебались в пределах нормы  от 0,8 до 1,5 мл/мин., среднее значение показателя составляло 1,05±0,34 мл/мин.  </w:t>
      </w:r>
    </w:p>
    <w:p w:rsidR="009A34A1" w:rsidRPr="003970EC" w:rsidRDefault="00034736" w:rsidP="00673E12">
      <w:pPr>
        <w:spacing w:after="0" w:line="360" w:lineRule="auto"/>
        <w:ind w:firstLine="709"/>
        <w:jc w:val="both"/>
        <w:rPr>
          <w:rFonts w:ascii="Times New Roman" w:hAnsi="Times New Roman" w:cs="Times New Roman"/>
          <w:sz w:val="24"/>
          <w:szCs w:val="24"/>
        </w:rPr>
      </w:pPr>
      <w:r w:rsidRPr="003970EC">
        <w:rPr>
          <w:rFonts w:ascii="Times New Roman" w:hAnsi="Times New Roman" w:cs="Times New Roman"/>
          <w:sz w:val="24"/>
          <w:szCs w:val="24"/>
        </w:rPr>
        <w:t xml:space="preserve"> Через  месяц после комплексного лечения, включающего  минералотерапию,  у 18 (75%) обследуемых наблюдалось достоверное повышение продукции слюны (СП</w:t>
      </w:r>
      <w:r w:rsidR="006D2AE4" w:rsidRPr="003970EC">
        <w:rPr>
          <w:rFonts w:ascii="Times New Roman" w:hAnsi="Times New Roman" w:cs="Times New Roman"/>
          <w:sz w:val="24"/>
          <w:szCs w:val="24"/>
        </w:rPr>
        <w:t xml:space="preserve">С) в среднем на 181%. </w:t>
      </w:r>
      <w:r w:rsidRPr="003970EC">
        <w:rPr>
          <w:rFonts w:ascii="Times New Roman" w:hAnsi="Times New Roman" w:cs="Times New Roman"/>
          <w:sz w:val="24"/>
          <w:szCs w:val="24"/>
        </w:rPr>
        <w:t>У этой части наблюдаемых до лечения средняя величина показателя СПС была равна 0,43 ±0,09, а после минералотерапии она составила 1,21±0,10 ( р ‹ 0,05). И только у 6  человек показатель СПС оставался в пределах нормальных знач</w:t>
      </w:r>
      <w:r w:rsidR="006D2AE4" w:rsidRPr="003970EC">
        <w:rPr>
          <w:rFonts w:ascii="Times New Roman" w:hAnsi="Times New Roman" w:cs="Times New Roman"/>
          <w:sz w:val="24"/>
          <w:szCs w:val="24"/>
        </w:rPr>
        <w:t>ений от 1 до 1,8 мл/мин (табл. 2)</w:t>
      </w:r>
      <w:r w:rsidR="008A542B">
        <w:rPr>
          <w:rFonts w:ascii="Times New Roman" w:hAnsi="Times New Roman" w:cs="Times New Roman"/>
          <w:sz w:val="24"/>
          <w:szCs w:val="24"/>
        </w:rPr>
        <w:t>.</w:t>
      </w:r>
    </w:p>
    <w:p w:rsidR="00034736" w:rsidRPr="003970EC" w:rsidRDefault="00034736" w:rsidP="00FE09CB">
      <w:pPr>
        <w:spacing w:after="0" w:line="360" w:lineRule="auto"/>
        <w:ind w:firstLine="709"/>
        <w:jc w:val="right"/>
        <w:rPr>
          <w:rFonts w:ascii="Times New Roman" w:hAnsi="Times New Roman" w:cs="Times New Roman"/>
          <w:sz w:val="24"/>
          <w:szCs w:val="24"/>
        </w:rPr>
      </w:pPr>
      <w:r w:rsidRPr="003970EC">
        <w:rPr>
          <w:rFonts w:ascii="Times New Roman" w:hAnsi="Times New Roman" w:cs="Times New Roman"/>
          <w:sz w:val="24"/>
          <w:szCs w:val="24"/>
        </w:rPr>
        <w:t xml:space="preserve">Таблица </w:t>
      </w:r>
      <w:r w:rsidR="009A34A1" w:rsidRPr="003970EC">
        <w:rPr>
          <w:rFonts w:ascii="Times New Roman" w:hAnsi="Times New Roman" w:cs="Times New Roman"/>
          <w:sz w:val="24"/>
          <w:szCs w:val="24"/>
        </w:rPr>
        <w:t>2</w:t>
      </w:r>
    </w:p>
    <w:p w:rsidR="00034736" w:rsidRPr="00FE09CB" w:rsidRDefault="00034736" w:rsidP="00FE09CB">
      <w:pPr>
        <w:spacing w:after="0" w:line="360" w:lineRule="auto"/>
        <w:ind w:firstLine="709"/>
        <w:jc w:val="center"/>
        <w:rPr>
          <w:rFonts w:ascii="Times New Roman" w:hAnsi="Times New Roman" w:cs="Times New Roman"/>
          <w:b/>
          <w:bCs/>
          <w:sz w:val="24"/>
          <w:szCs w:val="24"/>
        </w:rPr>
      </w:pPr>
      <w:r w:rsidRPr="00FE09CB">
        <w:rPr>
          <w:rFonts w:ascii="Times New Roman" w:hAnsi="Times New Roman" w:cs="Times New Roman"/>
          <w:b/>
          <w:bCs/>
          <w:sz w:val="24"/>
          <w:szCs w:val="24"/>
        </w:rPr>
        <w:t>Скорость слюноотделения у обследуемых в процессе лечения</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189"/>
        <w:gridCol w:w="3190"/>
        <w:gridCol w:w="3191"/>
      </w:tblGrid>
      <w:tr w:rsidR="00034736" w:rsidRPr="003970EC">
        <w:trPr>
          <w:trHeight w:val="311"/>
        </w:trPr>
        <w:tc>
          <w:tcPr>
            <w:tcW w:w="3189" w:type="dxa"/>
            <w:tcBorders>
              <w:top w:val="single" w:sz="4" w:space="0" w:color="auto"/>
            </w:tcBorders>
            <w:vAlign w:val="center"/>
          </w:tcPr>
          <w:p w:rsidR="00034736" w:rsidRPr="003970EC" w:rsidRDefault="009A34A1" w:rsidP="00673E12">
            <w:pPr>
              <w:spacing w:after="0" w:line="360" w:lineRule="auto"/>
              <w:ind w:firstLine="709"/>
              <w:jc w:val="both"/>
              <w:rPr>
                <w:rFonts w:ascii="Times New Roman" w:hAnsi="Times New Roman" w:cs="Times New Roman"/>
                <w:sz w:val="24"/>
                <w:szCs w:val="24"/>
              </w:rPr>
            </w:pPr>
            <w:r w:rsidRPr="003970EC">
              <w:rPr>
                <w:rFonts w:ascii="Times New Roman" w:hAnsi="Times New Roman" w:cs="Times New Roman"/>
                <w:sz w:val="24"/>
                <w:szCs w:val="24"/>
              </w:rPr>
              <w:t>СПС (мл/мин)</w:t>
            </w:r>
          </w:p>
        </w:tc>
        <w:tc>
          <w:tcPr>
            <w:tcW w:w="3190" w:type="dxa"/>
            <w:tcBorders>
              <w:top w:val="single" w:sz="4" w:space="0" w:color="auto"/>
            </w:tcBorders>
            <w:vAlign w:val="center"/>
          </w:tcPr>
          <w:p w:rsidR="00034736" w:rsidRPr="003970EC" w:rsidRDefault="00034736" w:rsidP="00FE09CB">
            <w:pPr>
              <w:spacing w:after="0" w:line="360" w:lineRule="auto"/>
              <w:ind w:firstLine="51"/>
              <w:jc w:val="both"/>
              <w:rPr>
                <w:rFonts w:ascii="Times New Roman" w:hAnsi="Times New Roman" w:cs="Times New Roman"/>
                <w:sz w:val="24"/>
                <w:szCs w:val="24"/>
              </w:rPr>
            </w:pPr>
            <w:r w:rsidRPr="003970EC">
              <w:rPr>
                <w:rFonts w:ascii="Times New Roman" w:hAnsi="Times New Roman" w:cs="Times New Roman"/>
                <w:sz w:val="24"/>
                <w:szCs w:val="24"/>
              </w:rPr>
              <w:t>основная группа, n=16</w:t>
            </w:r>
          </w:p>
        </w:tc>
        <w:tc>
          <w:tcPr>
            <w:tcW w:w="3191" w:type="dxa"/>
            <w:tcBorders>
              <w:top w:val="single" w:sz="4" w:space="0" w:color="auto"/>
            </w:tcBorders>
            <w:vAlign w:val="center"/>
          </w:tcPr>
          <w:p w:rsidR="00034736" w:rsidRPr="003970EC" w:rsidRDefault="00034736" w:rsidP="00FE09CB">
            <w:pPr>
              <w:spacing w:after="0" w:line="360" w:lineRule="auto"/>
              <w:jc w:val="both"/>
              <w:rPr>
                <w:rFonts w:ascii="Times New Roman" w:hAnsi="Times New Roman" w:cs="Times New Roman"/>
                <w:sz w:val="24"/>
                <w:szCs w:val="24"/>
              </w:rPr>
            </w:pPr>
            <w:r w:rsidRPr="003970EC">
              <w:rPr>
                <w:rFonts w:ascii="Times New Roman" w:hAnsi="Times New Roman" w:cs="Times New Roman"/>
                <w:sz w:val="24"/>
                <w:szCs w:val="24"/>
              </w:rPr>
              <w:t>группа сравнения</w:t>
            </w:r>
            <w:r w:rsidR="000C6AFF" w:rsidRPr="003970EC">
              <w:rPr>
                <w:rFonts w:ascii="Times New Roman" w:hAnsi="Times New Roman" w:cs="Times New Roman"/>
                <w:sz w:val="24"/>
                <w:szCs w:val="24"/>
              </w:rPr>
              <w:t>,</w:t>
            </w:r>
            <w:r w:rsidRPr="003970EC">
              <w:rPr>
                <w:rFonts w:ascii="Times New Roman" w:hAnsi="Times New Roman" w:cs="Times New Roman"/>
                <w:sz w:val="24"/>
                <w:szCs w:val="24"/>
              </w:rPr>
              <w:t xml:space="preserve"> n=18</w:t>
            </w:r>
          </w:p>
        </w:tc>
      </w:tr>
      <w:tr w:rsidR="00034736" w:rsidRPr="003970EC">
        <w:trPr>
          <w:trHeight w:val="284"/>
        </w:trPr>
        <w:tc>
          <w:tcPr>
            <w:tcW w:w="3189" w:type="dxa"/>
            <w:vAlign w:val="center"/>
          </w:tcPr>
          <w:p w:rsidR="00034736" w:rsidRPr="003970EC" w:rsidRDefault="00034736" w:rsidP="00673E12">
            <w:pPr>
              <w:spacing w:after="0" w:line="360" w:lineRule="auto"/>
              <w:ind w:firstLine="709"/>
              <w:jc w:val="both"/>
              <w:rPr>
                <w:rFonts w:ascii="Times New Roman" w:hAnsi="Times New Roman" w:cs="Times New Roman"/>
                <w:sz w:val="24"/>
                <w:szCs w:val="24"/>
              </w:rPr>
            </w:pPr>
            <w:r w:rsidRPr="003970EC">
              <w:rPr>
                <w:rFonts w:ascii="Times New Roman" w:hAnsi="Times New Roman" w:cs="Times New Roman"/>
                <w:sz w:val="24"/>
                <w:szCs w:val="24"/>
              </w:rPr>
              <w:t>до лечения</w:t>
            </w:r>
          </w:p>
        </w:tc>
        <w:tc>
          <w:tcPr>
            <w:tcW w:w="3190" w:type="dxa"/>
            <w:vAlign w:val="center"/>
          </w:tcPr>
          <w:p w:rsidR="00034736" w:rsidRPr="003970EC" w:rsidRDefault="00034736" w:rsidP="00673E12">
            <w:pPr>
              <w:spacing w:after="0" w:line="360" w:lineRule="auto"/>
              <w:ind w:firstLine="709"/>
              <w:jc w:val="both"/>
              <w:rPr>
                <w:rFonts w:ascii="Times New Roman" w:hAnsi="Times New Roman" w:cs="Times New Roman"/>
                <w:sz w:val="24"/>
                <w:szCs w:val="24"/>
              </w:rPr>
            </w:pPr>
            <w:r w:rsidRPr="003970EC">
              <w:rPr>
                <w:rFonts w:ascii="Times New Roman" w:hAnsi="Times New Roman" w:cs="Times New Roman"/>
                <w:sz w:val="24"/>
                <w:szCs w:val="24"/>
              </w:rPr>
              <w:t>0,41 ± 0,08</w:t>
            </w:r>
          </w:p>
        </w:tc>
        <w:tc>
          <w:tcPr>
            <w:tcW w:w="3191" w:type="dxa"/>
            <w:vAlign w:val="center"/>
          </w:tcPr>
          <w:p w:rsidR="00034736" w:rsidRPr="003970EC" w:rsidRDefault="00034736" w:rsidP="00673E12">
            <w:pPr>
              <w:spacing w:after="0" w:line="360" w:lineRule="auto"/>
              <w:ind w:firstLine="709"/>
              <w:jc w:val="both"/>
              <w:rPr>
                <w:rFonts w:ascii="Times New Roman" w:hAnsi="Times New Roman" w:cs="Times New Roman"/>
                <w:sz w:val="24"/>
                <w:szCs w:val="24"/>
              </w:rPr>
            </w:pPr>
            <w:r w:rsidRPr="003970EC">
              <w:rPr>
                <w:rFonts w:ascii="Times New Roman" w:hAnsi="Times New Roman" w:cs="Times New Roman"/>
                <w:sz w:val="24"/>
                <w:szCs w:val="24"/>
              </w:rPr>
              <w:t>0,45 ± 0,09</w:t>
            </w:r>
          </w:p>
        </w:tc>
      </w:tr>
      <w:tr w:rsidR="00034736" w:rsidRPr="003970EC">
        <w:trPr>
          <w:trHeight w:val="284"/>
        </w:trPr>
        <w:tc>
          <w:tcPr>
            <w:tcW w:w="3189" w:type="dxa"/>
            <w:tcBorders>
              <w:bottom w:val="single" w:sz="4" w:space="0" w:color="auto"/>
            </w:tcBorders>
            <w:vAlign w:val="center"/>
          </w:tcPr>
          <w:p w:rsidR="00034736" w:rsidRPr="003970EC" w:rsidRDefault="00034736" w:rsidP="00673E12">
            <w:pPr>
              <w:spacing w:after="0" w:line="360" w:lineRule="auto"/>
              <w:ind w:firstLine="709"/>
              <w:jc w:val="both"/>
              <w:rPr>
                <w:rFonts w:ascii="Times New Roman" w:hAnsi="Times New Roman" w:cs="Times New Roman"/>
                <w:sz w:val="24"/>
                <w:szCs w:val="24"/>
              </w:rPr>
            </w:pPr>
            <w:r w:rsidRPr="003970EC">
              <w:rPr>
                <w:rFonts w:ascii="Times New Roman" w:hAnsi="Times New Roman" w:cs="Times New Roman"/>
                <w:sz w:val="24"/>
                <w:szCs w:val="24"/>
              </w:rPr>
              <w:t>через 1 месяц</w:t>
            </w:r>
          </w:p>
        </w:tc>
        <w:tc>
          <w:tcPr>
            <w:tcW w:w="3190" w:type="dxa"/>
            <w:tcBorders>
              <w:bottom w:val="single" w:sz="4" w:space="0" w:color="auto"/>
            </w:tcBorders>
            <w:vAlign w:val="center"/>
          </w:tcPr>
          <w:p w:rsidR="00034736" w:rsidRPr="003970EC" w:rsidRDefault="00034736" w:rsidP="00673E12">
            <w:pPr>
              <w:spacing w:after="0" w:line="360" w:lineRule="auto"/>
              <w:ind w:firstLine="709"/>
              <w:jc w:val="both"/>
              <w:rPr>
                <w:rFonts w:ascii="Times New Roman" w:hAnsi="Times New Roman" w:cs="Times New Roman"/>
                <w:sz w:val="24"/>
                <w:szCs w:val="24"/>
              </w:rPr>
            </w:pPr>
            <w:r w:rsidRPr="003970EC">
              <w:rPr>
                <w:rFonts w:ascii="Times New Roman" w:hAnsi="Times New Roman" w:cs="Times New Roman"/>
                <w:sz w:val="24"/>
                <w:szCs w:val="24"/>
              </w:rPr>
              <w:t>1,21 ± 0,10 *    * *</w:t>
            </w:r>
          </w:p>
        </w:tc>
        <w:tc>
          <w:tcPr>
            <w:tcW w:w="3191" w:type="dxa"/>
            <w:tcBorders>
              <w:bottom w:val="single" w:sz="4" w:space="0" w:color="auto"/>
            </w:tcBorders>
            <w:vAlign w:val="center"/>
          </w:tcPr>
          <w:p w:rsidR="00034736" w:rsidRPr="003970EC" w:rsidRDefault="00034736" w:rsidP="00673E12">
            <w:pPr>
              <w:spacing w:after="0" w:line="360" w:lineRule="auto"/>
              <w:ind w:firstLine="709"/>
              <w:jc w:val="both"/>
              <w:rPr>
                <w:rFonts w:ascii="Times New Roman" w:hAnsi="Times New Roman" w:cs="Times New Roman"/>
                <w:sz w:val="24"/>
                <w:szCs w:val="24"/>
              </w:rPr>
            </w:pPr>
            <w:r w:rsidRPr="003970EC">
              <w:rPr>
                <w:rFonts w:ascii="Times New Roman" w:hAnsi="Times New Roman" w:cs="Times New Roman"/>
                <w:sz w:val="24"/>
                <w:szCs w:val="24"/>
              </w:rPr>
              <w:t>0,69 ± 0,07 *     * *</w:t>
            </w:r>
          </w:p>
        </w:tc>
      </w:tr>
    </w:tbl>
    <w:p w:rsidR="00034736" w:rsidRPr="003970EC" w:rsidRDefault="00034736" w:rsidP="00673E12">
      <w:pPr>
        <w:spacing w:after="0" w:line="360" w:lineRule="auto"/>
        <w:ind w:firstLine="709"/>
        <w:jc w:val="both"/>
        <w:rPr>
          <w:rFonts w:ascii="Times New Roman" w:hAnsi="Times New Roman" w:cs="Times New Roman"/>
          <w:sz w:val="24"/>
          <w:szCs w:val="24"/>
        </w:rPr>
      </w:pPr>
      <w:r w:rsidRPr="003970EC">
        <w:rPr>
          <w:rFonts w:ascii="Times New Roman" w:hAnsi="Times New Roman" w:cs="Times New Roman"/>
          <w:sz w:val="24"/>
          <w:szCs w:val="24"/>
        </w:rPr>
        <w:t>Примечание: * – достоверность отличия средних показателей в группах до и после лечения</w:t>
      </w:r>
      <w:r w:rsidR="009A34A1" w:rsidRPr="003970EC">
        <w:rPr>
          <w:rFonts w:ascii="Times New Roman" w:hAnsi="Times New Roman" w:cs="Times New Roman"/>
          <w:sz w:val="24"/>
          <w:szCs w:val="24"/>
        </w:rPr>
        <w:t xml:space="preserve"> (р</w:t>
      </w:r>
      <w:r w:rsidR="009A34A1" w:rsidRPr="003970EC">
        <w:rPr>
          <w:rFonts w:ascii="Times New Roman" w:hAnsi="Times New Roman" w:cs="Times New Roman"/>
          <w:sz w:val="24"/>
          <w:szCs w:val="24"/>
        </w:rPr>
        <w:sym w:font="Symbol" w:char="F0A3"/>
      </w:r>
      <w:r w:rsidR="009A34A1" w:rsidRPr="003970EC">
        <w:rPr>
          <w:rFonts w:ascii="Times New Roman" w:hAnsi="Times New Roman" w:cs="Times New Roman"/>
          <w:sz w:val="24"/>
          <w:szCs w:val="24"/>
        </w:rPr>
        <w:t xml:space="preserve">0,05); </w:t>
      </w:r>
      <w:r w:rsidRPr="003970EC">
        <w:rPr>
          <w:rFonts w:ascii="Times New Roman" w:hAnsi="Times New Roman" w:cs="Times New Roman"/>
          <w:sz w:val="24"/>
          <w:szCs w:val="24"/>
        </w:rPr>
        <w:t xml:space="preserve"> ** – между основной и группой сравнения после лечения</w:t>
      </w:r>
      <w:r w:rsidR="009A34A1" w:rsidRPr="003970EC">
        <w:rPr>
          <w:rFonts w:ascii="Times New Roman" w:hAnsi="Times New Roman" w:cs="Times New Roman"/>
          <w:sz w:val="24"/>
          <w:szCs w:val="24"/>
        </w:rPr>
        <w:t xml:space="preserve"> (р</w:t>
      </w:r>
      <w:r w:rsidR="009A34A1" w:rsidRPr="003970EC">
        <w:rPr>
          <w:rFonts w:ascii="Times New Roman" w:hAnsi="Times New Roman" w:cs="Times New Roman"/>
          <w:sz w:val="24"/>
          <w:szCs w:val="24"/>
        </w:rPr>
        <w:sym w:font="Symbol" w:char="F0A3"/>
      </w:r>
      <w:r w:rsidR="009A34A1" w:rsidRPr="003970EC">
        <w:rPr>
          <w:rFonts w:ascii="Times New Roman" w:hAnsi="Times New Roman" w:cs="Times New Roman"/>
          <w:sz w:val="24"/>
          <w:szCs w:val="24"/>
        </w:rPr>
        <w:t>0,05)</w:t>
      </w:r>
      <w:r w:rsidRPr="003970EC">
        <w:rPr>
          <w:rFonts w:ascii="Times New Roman" w:hAnsi="Times New Roman" w:cs="Times New Roman"/>
          <w:sz w:val="24"/>
          <w:szCs w:val="24"/>
        </w:rPr>
        <w:t>.</w:t>
      </w:r>
    </w:p>
    <w:p w:rsidR="00034736" w:rsidRPr="003970EC" w:rsidRDefault="00034736" w:rsidP="00673E12">
      <w:pPr>
        <w:spacing w:after="0" w:line="360" w:lineRule="auto"/>
        <w:ind w:firstLine="709"/>
        <w:jc w:val="both"/>
        <w:rPr>
          <w:rFonts w:ascii="Times New Roman" w:hAnsi="Times New Roman" w:cs="Times New Roman"/>
          <w:sz w:val="24"/>
          <w:szCs w:val="24"/>
        </w:rPr>
      </w:pPr>
      <w:r w:rsidRPr="003970EC">
        <w:rPr>
          <w:rFonts w:ascii="Times New Roman" w:hAnsi="Times New Roman" w:cs="Times New Roman"/>
          <w:sz w:val="24"/>
          <w:szCs w:val="24"/>
        </w:rPr>
        <w:t xml:space="preserve">В группе сравнения при изучении исходных показателей скорости не стимулированного слюноотделения  у студентов  было определено, что СПС у 16 (61,5%) обследованных была ниже нормы, индивидуальные показатели  варьировали от 0,4 до 0,6 </w:t>
      </w:r>
      <w:r w:rsidRPr="003970EC">
        <w:rPr>
          <w:rFonts w:ascii="Times New Roman" w:hAnsi="Times New Roman" w:cs="Times New Roman"/>
          <w:sz w:val="24"/>
          <w:szCs w:val="24"/>
        </w:rPr>
        <w:lastRenderedPageBreak/>
        <w:t xml:space="preserve">мл/мин., среднее  значение было равно 0,45±0,09 мл/мин.   У  10 (38,5 %)   человек индивидуальные показатели СПС не отличались от нормальных величин  и варьировали  от 0,7 до 1,46  мл/мин., среднее значение показателя составляло  1,12±0,27 мл/мин. </w:t>
      </w:r>
    </w:p>
    <w:p w:rsidR="00034736" w:rsidRPr="003970EC" w:rsidRDefault="00034736" w:rsidP="00673E12">
      <w:pPr>
        <w:spacing w:after="0" w:line="360" w:lineRule="auto"/>
        <w:ind w:firstLine="709"/>
        <w:jc w:val="both"/>
        <w:rPr>
          <w:rFonts w:ascii="Times New Roman" w:hAnsi="Times New Roman" w:cs="Times New Roman"/>
          <w:sz w:val="24"/>
          <w:szCs w:val="24"/>
        </w:rPr>
      </w:pPr>
      <w:r w:rsidRPr="003970EC">
        <w:rPr>
          <w:rFonts w:ascii="Times New Roman" w:hAnsi="Times New Roman" w:cs="Times New Roman"/>
          <w:sz w:val="24"/>
          <w:szCs w:val="24"/>
        </w:rPr>
        <w:t xml:space="preserve">     Через  месяц после комплексного лечения,  у 16 студентов со сниженными показателями слюноотделения  установлено достоверное повышение продукции слюны (СПС) в среднем  на  53 %.    До лечения  средняя величина показателя СПС была равна  0,45 ±0,09, а после  санации  полости рта и лечения ХГКГ она составила  0,69 ±0,07 ( р ‹ 0,05).    У  10 студентов с нормальными  показателями  СПС индивидуальные величины скорости слюноотделения остава</w:t>
      </w:r>
      <w:r w:rsidR="00FE09CB">
        <w:rPr>
          <w:rFonts w:ascii="Times New Roman" w:hAnsi="Times New Roman" w:cs="Times New Roman"/>
          <w:sz w:val="24"/>
          <w:szCs w:val="24"/>
        </w:rPr>
        <w:t>лись на прежнем уровне (табл. 2)</w:t>
      </w:r>
    </w:p>
    <w:p w:rsidR="00034736" w:rsidRPr="003970EC" w:rsidRDefault="00034736" w:rsidP="00673E12">
      <w:pPr>
        <w:spacing w:after="0" w:line="360" w:lineRule="auto"/>
        <w:ind w:firstLine="709"/>
        <w:jc w:val="both"/>
        <w:rPr>
          <w:rFonts w:ascii="Times New Roman" w:hAnsi="Times New Roman" w:cs="Times New Roman"/>
          <w:sz w:val="24"/>
          <w:szCs w:val="24"/>
        </w:rPr>
      </w:pPr>
      <w:r w:rsidRPr="003970EC">
        <w:rPr>
          <w:rFonts w:ascii="Times New Roman" w:hAnsi="Times New Roman" w:cs="Times New Roman"/>
          <w:sz w:val="24"/>
          <w:szCs w:val="24"/>
        </w:rPr>
        <w:t>Изучение исходного  показателя водородных ионов слюны  у студентов обеих групп свидетельствовало о сдвиге реакции ротовой жидкости в кислую сторону   у трети обследуемых,  индивидуальные значения показателя рН   менялись от 5,8 до 7,0 со средним значением 6,4 ±0,06. В основной группе показатель рН был равен 6,42±0,03, а в группе сравнения - 6,46±0</w:t>
      </w:r>
      <w:r w:rsidR="009A34A1" w:rsidRPr="003970EC">
        <w:rPr>
          <w:rFonts w:ascii="Times New Roman" w:hAnsi="Times New Roman" w:cs="Times New Roman"/>
          <w:sz w:val="24"/>
          <w:szCs w:val="24"/>
        </w:rPr>
        <w:t>,015 без достоверных отличий (т</w:t>
      </w:r>
      <w:r w:rsidRPr="003970EC">
        <w:rPr>
          <w:rFonts w:ascii="Times New Roman" w:hAnsi="Times New Roman" w:cs="Times New Roman"/>
          <w:sz w:val="24"/>
          <w:szCs w:val="24"/>
        </w:rPr>
        <w:t xml:space="preserve">абл.  </w:t>
      </w:r>
      <w:r w:rsidR="009A34A1" w:rsidRPr="003970EC">
        <w:rPr>
          <w:rFonts w:ascii="Times New Roman" w:hAnsi="Times New Roman" w:cs="Times New Roman"/>
          <w:sz w:val="24"/>
          <w:szCs w:val="24"/>
        </w:rPr>
        <w:t>3</w:t>
      </w:r>
      <w:r w:rsidRPr="003970EC">
        <w:rPr>
          <w:rFonts w:ascii="Times New Roman" w:hAnsi="Times New Roman" w:cs="Times New Roman"/>
          <w:sz w:val="24"/>
          <w:szCs w:val="24"/>
        </w:rPr>
        <w:t xml:space="preserve">)                                           </w:t>
      </w:r>
    </w:p>
    <w:p w:rsidR="00034736" w:rsidRPr="003970EC" w:rsidRDefault="00034736" w:rsidP="00FE09CB">
      <w:pPr>
        <w:spacing w:after="0" w:line="360" w:lineRule="auto"/>
        <w:ind w:firstLine="709"/>
        <w:jc w:val="right"/>
        <w:rPr>
          <w:rFonts w:ascii="Times New Roman" w:hAnsi="Times New Roman" w:cs="Times New Roman"/>
          <w:sz w:val="24"/>
          <w:szCs w:val="24"/>
        </w:rPr>
      </w:pPr>
      <w:r w:rsidRPr="003970EC">
        <w:rPr>
          <w:rFonts w:ascii="Times New Roman" w:hAnsi="Times New Roman" w:cs="Times New Roman"/>
          <w:sz w:val="24"/>
          <w:szCs w:val="24"/>
        </w:rPr>
        <w:t xml:space="preserve">                                                                                                        Таблица</w:t>
      </w:r>
      <w:r w:rsidR="009A34A1" w:rsidRPr="003970EC">
        <w:rPr>
          <w:rFonts w:ascii="Times New Roman" w:hAnsi="Times New Roman" w:cs="Times New Roman"/>
          <w:sz w:val="24"/>
          <w:szCs w:val="24"/>
        </w:rPr>
        <w:t xml:space="preserve"> 3</w:t>
      </w:r>
    </w:p>
    <w:p w:rsidR="00107120" w:rsidRPr="00700D63" w:rsidRDefault="00034736" w:rsidP="00FE09CB">
      <w:pPr>
        <w:spacing w:after="0" w:line="360" w:lineRule="auto"/>
        <w:ind w:firstLine="709"/>
        <w:jc w:val="center"/>
        <w:rPr>
          <w:rFonts w:ascii="Times New Roman" w:hAnsi="Times New Roman" w:cs="Times New Roman"/>
          <w:b/>
          <w:bCs/>
          <w:sz w:val="24"/>
          <w:szCs w:val="24"/>
        </w:rPr>
      </w:pPr>
      <w:r w:rsidRPr="00700D63">
        <w:rPr>
          <w:rFonts w:ascii="Times New Roman" w:hAnsi="Times New Roman" w:cs="Times New Roman"/>
          <w:b/>
          <w:bCs/>
          <w:sz w:val="24"/>
          <w:szCs w:val="24"/>
        </w:rPr>
        <w:t>Динамика показателя концентрации водородных ионов</w:t>
      </w:r>
      <w:r w:rsidR="00FE09CB" w:rsidRPr="00700D63">
        <w:rPr>
          <w:rFonts w:ascii="Times New Roman" w:hAnsi="Times New Roman" w:cs="Times New Roman"/>
          <w:b/>
          <w:bCs/>
          <w:sz w:val="24"/>
          <w:szCs w:val="24"/>
        </w:rPr>
        <w:t xml:space="preserve"> </w:t>
      </w:r>
      <w:r w:rsidRPr="00700D63">
        <w:rPr>
          <w:rFonts w:ascii="Times New Roman" w:hAnsi="Times New Roman" w:cs="Times New Roman"/>
          <w:b/>
          <w:bCs/>
          <w:sz w:val="24"/>
          <w:szCs w:val="24"/>
        </w:rPr>
        <w:t>в слюне у  обследуемых</w:t>
      </w:r>
    </w:p>
    <w:tbl>
      <w:tblPr>
        <w:tblW w:w="0" w:type="auto"/>
        <w:tblLayout w:type="fixed"/>
        <w:tblLook w:val="0000" w:firstRow="0" w:lastRow="0" w:firstColumn="0" w:lastColumn="0" w:noHBand="0" w:noVBand="0"/>
      </w:tblPr>
      <w:tblGrid>
        <w:gridCol w:w="2000"/>
        <w:gridCol w:w="1736"/>
        <w:gridCol w:w="1737"/>
        <w:gridCol w:w="1736"/>
        <w:gridCol w:w="1737"/>
      </w:tblGrid>
      <w:tr w:rsidR="00107120" w:rsidRPr="003970EC">
        <w:trPr>
          <w:trHeight w:val="473"/>
        </w:trPr>
        <w:tc>
          <w:tcPr>
            <w:tcW w:w="2000" w:type="dxa"/>
            <w:vMerge w:val="restart"/>
            <w:tcBorders>
              <w:top w:val="single" w:sz="4" w:space="0" w:color="auto"/>
              <w:left w:val="single" w:sz="4" w:space="0" w:color="auto"/>
              <w:bottom w:val="nil"/>
              <w:right w:val="single" w:sz="4" w:space="0" w:color="auto"/>
            </w:tcBorders>
            <w:vAlign w:val="center"/>
          </w:tcPr>
          <w:p w:rsidR="00107120" w:rsidRPr="003970EC" w:rsidRDefault="00107120" w:rsidP="00FE09CB">
            <w:pPr>
              <w:spacing w:after="0" w:line="360" w:lineRule="auto"/>
              <w:jc w:val="both"/>
              <w:rPr>
                <w:rFonts w:ascii="Times New Roman" w:hAnsi="Times New Roman" w:cs="Times New Roman"/>
                <w:sz w:val="24"/>
                <w:szCs w:val="24"/>
              </w:rPr>
            </w:pPr>
            <w:r w:rsidRPr="003970EC">
              <w:rPr>
                <w:rFonts w:ascii="Times New Roman" w:hAnsi="Times New Roman" w:cs="Times New Roman"/>
                <w:sz w:val="24"/>
                <w:szCs w:val="24"/>
              </w:rPr>
              <w:t>показатель</w:t>
            </w:r>
          </w:p>
          <w:p w:rsidR="00107120" w:rsidRPr="003970EC" w:rsidRDefault="00107120" w:rsidP="00FE09CB">
            <w:pPr>
              <w:spacing w:after="0" w:line="360" w:lineRule="auto"/>
              <w:jc w:val="both"/>
              <w:rPr>
                <w:rFonts w:ascii="Times New Roman" w:hAnsi="Times New Roman" w:cs="Times New Roman"/>
                <w:sz w:val="24"/>
                <w:szCs w:val="24"/>
              </w:rPr>
            </w:pPr>
          </w:p>
        </w:tc>
        <w:tc>
          <w:tcPr>
            <w:tcW w:w="3473" w:type="dxa"/>
            <w:gridSpan w:val="2"/>
            <w:tcBorders>
              <w:top w:val="single" w:sz="4" w:space="0" w:color="auto"/>
              <w:left w:val="nil"/>
              <w:bottom w:val="single" w:sz="4" w:space="0" w:color="auto"/>
              <w:right w:val="single" w:sz="4" w:space="0" w:color="auto"/>
            </w:tcBorders>
            <w:vAlign w:val="center"/>
          </w:tcPr>
          <w:p w:rsidR="00107120" w:rsidRPr="003970EC" w:rsidRDefault="00107120" w:rsidP="00673E12">
            <w:pPr>
              <w:spacing w:after="0" w:line="360" w:lineRule="auto"/>
              <w:ind w:firstLine="709"/>
              <w:jc w:val="both"/>
              <w:rPr>
                <w:rFonts w:ascii="Times New Roman" w:hAnsi="Times New Roman" w:cs="Times New Roman"/>
                <w:sz w:val="24"/>
                <w:szCs w:val="24"/>
              </w:rPr>
            </w:pPr>
            <w:r w:rsidRPr="003970EC">
              <w:rPr>
                <w:rFonts w:ascii="Times New Roman" w:hAnsi="Times New Roman" w:cs="Times New Roman"/>
                <w:sz w:val="24"/>
                <w:szCs w:val="24"/>
              </w:rPr>
              <w:t>Основная группа, n = 24</w:t>
            </w:r>
          </w:p>
        </w:tc>
        <w:tc>
          <w:tcPr>
            <w:tcW w:w="3473" w:type="dxa"/>
            <w:gridSpan w:val="2"/>
            <w:tcBorders>
              <w:top w:val="single" w:sz="4" w:space="0" w:color="auto"/>
              <w:left w:val="nil"/>
              <w:bottom w:val="single" w:sz="4" w:space="0" w:color="auto"/>
              <w:right w:val="single" w:sz="4" w:space="0" w:color="auto"/>
            </w:tcBorders>
            <w:vAlign w:val="center"/>
          </w:tcPr>
          <w:p w:rsidR="00107120" w:rsidRPr="003970EC" w:rsidRDefault="00107120" w:rsidP="00673E12">
            <w:pPr>
              <w:spacing w:after="0" w:line="360" w:lineRule="auto"/>
              <w:ind w:firstLine="709"/>
              <w:jc w:val="both"/>
              <w:rPr>
                <w:rFonts w:ascii="Times New Roman" w:hAnsi="Times New Roman" w:cs="Times New Roman"/>
                <w:sz w:val="24"/>
                <w:szCs w:val="24"/>
              </w:rPr>
            </w:pPr>
            <w:r w:rsidRPr="003970EC">
              <w:rPr>
                <w:rFonts w:ascii="Times New Roman" w:hAnsi="Times New Roman" w:cs="Times New Roman"/>
                <w:sz w:val="24"/>
                <w:szCs w:val="24"/>
              </w:rPr>
              <w:t>группа сравнения, n = 26</w:t>
            </w:r>
          </w:p>
        </w:tc>
      </w:tr>
      <w:tr w:rsidR="00107120" w:rsidRPr="003970EC">
        <w:trPr>
          <w:trHeight w:val="214"/>
        </w:trPr>
        <w:tc>
          <w:tcPr>
            <w:tcW w:w="2000" w:type="dxa"/>
            <w:vMerge/>
            <w:tcBorders>
              <w:top w:val="nil"/>
              <w:left w:val="single" w:sz="4" w:space="0" w:color="auto"/>
              <w:bottom w:val="single" w:sz="4" w:space="0" w:color="auto"/>
              <w:right w:val="single" w:sz="4" w:space="0" w:color="auto"/>
            </w:tcBorders>
            <w:vAlign w:val="center"/>
          </w:tcPr>
          <w:p w:rsidR="00107120" w:rsidRPr="003970EC" w:rsidRDefault="00107120" w:rsidP="00FE09CB">
            <w:pPr>
              <w:spacing w:after="0" w:line="360" w:lineRule="auto"/>
              <w:jc w:val="both"/>
              <w:rPr>
                <w:rFonts w:ascii="Times New Roman" w:hAnsi="Times New Roman" w:cs="Times New Roman"/>
                <w:sz w:val="24"/>
                <w:szCs w:val="24"/>
              </w:rPr>
            </w:pPr>
          </w:p>
        </w:tc>
        <w:tc>
          <w:tcPr>
            <w:tcW w:w="1736" w:type="dxa"/>
            <w:tcBorders>
              <w:top w:val="single" w:sz="4" w:space="0" w:color="auto"/>
              <w:left w:val="nil"/>
              <w:bottom w:val="single" w:sz="4" w:space="0" w:color="auto"/>
              <w:right w:val="single" w:sz="4" w:space="0" w:color="auto"/>
            </w:tcBorders>
            <w:vAlign w:val="center"/>
          </w:tcPr>
          <w:p w:rsidR="00107120" w:rsidRPr="003970EC" w:rsidRDefault="00107120" w:rsidP="00FE09CB">
            <w:pPr>
              <w:spacing w:after="0" w:line="360" w:lineRule="auto"/>
              <w:jc w:val="both"/>
              <w:rPr>
                <w:rFonts w:ascii="Times New Roman" w:hAnsi="Times New Roman" w:cs="Times New Roman"/>
                <w:sz w:val="24"/>
                <w:szCs w:val="24"/>
              </w:rPr>
            </w:pPr>
            <w:r w:rsidRPr="003970EC">
              <w:rPr>
                <w:rFonts w:ascii="Times New Roman" w:hAnsi="Times New Roman" w:cs="Times New Roman"/>
                <w:sz w:val="24"/>
                <w:szCs w:val="24"/>
              </w:rPr>
              <w:t>до лечения</w:t>
            </w:r>
          </w:p>
        </w:tc>
        <w:tc>
          <w:tcPr>
            <w:tcW w:w="1737" w:type="dxa"/>
            <w:tcBorders>
              <w:top w:val="single" w:sz="4" w:space="0" w:color="auto"/>
              <w:left w:val="nil"/>
              <w:bottom w:val="single" w:sz="4" w:space="0" w:color="auto"/>
              <w:right w:val="single" w:sz="4" w:space="0" w:color="auto"/>
            </w:tcBorders>
            <w:vAlign w:val="center"/>
          </w:tcPr>
          <w:p w:rsidR="00107120" w:rsidRPr="003970EC" w:rsidRDefault="00107120" w:rsidP="00FE09CB">
            <w:pPr>
              <w:spacing w:after="0" w:line="360" w:lineRule="auto"/>
              <w:ind w:firstLine="44"/>
              <w:jc w:val="both"/>
              <w:rPr>
                <w:rFonts w:ascii="Times New Roman" w:hAnsi="Times New Roman" w:cs="Times New Roman"/>
                <w:sz w:val="24"/>
                <w:szCs w:val="24"/>
              </w:rPr>
            </w:pPr>
            <w:r w:rsidRPr="003970EC">
              <w:rPr>
                <w:rFonts w:ascii="Times New Roman" w:hAnsi="Times New Roman" w:cs="Times New Roman"/>
                <w:sz w:val="24"/>
                <w:szCs w:val="24"/>
              </w:rPr>
              <w:t>после лечения</w:t>
            </w:r>
          </w:p>
        </w:tc>
        <w:tc>
          <w:tcPr>
            <w:tcW w:w="1736" w:type="dxa"/>
            <w:tcBorders>
              <w:top w:val="single" w:sz="4" w:space="0" w:color="auto"/>
              <w:left w:val="nil"/>
              <w:bottom w:val="single" w:sz="4" w:space="0" w:color="auto"/>
              <w:right w:val="single" w:sz="4" w:space="0" w:color="auto"/>
            </w:tcBorders>
            <w:vAlign w:val="center"/>
          </w:tcPr>
          <w:p w:rsidR="00107120" w:rsidRPr="003970EC" w:rsidRDefault="00107120" w:rsidP="00FE09CB">
            <w:pPr>
              <w:spacing w:after="0" w:line="360" w:lineRule="auto"/>
              <w:jc w:val="both"/>
              <w:rPr>
                <w:rFonts w:ascii="Times New Roman" w:hAnsi="Times New Roman" w:cs="Times New Roman"/>
                <w:sz w:val="24"/>
                <w:szCs w:val="24"/>
              </w:rPr>
            </w:pPr>
            <w:r w:rsidRPr="003970EC">
              <w:rPr>
                <w:rFonts w:ascii="Times New Roman" w:hAnsi="Times New Roman" w:cs="Times New Roman"/>
                <w:sz w:val="24"/>
                <w:szCs w:val="24"/>
              </w:rPr>
              <w:t>до лечения</w:t>
            </w:r>
          </w:p>
        </w:tc>
        <w:tc>
          <w:tcPr>
            <w:tcW w:w="1737" w:type="dxa"/>
            <w:tcBorders>
              <w:top w:val="single" w:sz="4" w:space="0" w:color="auto"/>
              <w:left w:val="nil"/>
              <w:bottom w:val="single" w:sz="4" w:space="0" w:color="auto"/>
              <w:right w:val="single" w:sz="4" w:space="0" w:color="auto"/>
            </w:tcBorders>
            <w:vAlign w:val="center"/>
          </w:tcPr>
          <w:p w:rsidR="00107120" w:rsidRPr="003970EC" w:rsidRDefault="00107120" w:rsidP="00FE09CB">
            <w:pPr>
              <w:spacing w:after="0" w:line="360" w:lineRule="auto"/>
              <w:jc w:val="both"/>
              <w:rPr>
                <w:rFonts w:ascii="Times New Roman" w:hAnsi="Times New Roman" w:cs="Times New Roman"/>
                <w:sz w:val="24"/>
                <w:szCs w:val="24"/>
              </w:rPr>
            </w:pPr>
            <w:r w:rsidRPr="003970EC">
              <w:rPr>
                <w:rFonts w:ascii="Times New Roman" w:hAnsi="Times New Roman" w:cs="Times New Roman"/>
                <w:sz w:val="24"/>
                <w:szCs w:val="24"/>
              </w:rPr>
              <w:t>после лечения</w:t>
            </w:r>
          </w:p>
        </w:tc>
      </w:tr>
      <w:tr w:rsidR="00107120" w:rsidRPr="003970EC">
        <w:trPr>
          <w:trHeight w:val="227"/>
        </w:trPr>
        <w:tc>
          <w:tcPr>
            <w:tcW w:w="2000" w:type="dxa"/>
            <w:tcBorders>
              <w:top w:val="nil"/>
              <w:left w:val="single" w:sz="4" w:space="0" w:color="auto"/>
              <w:bottom w:val="single" w:sz="4" w:space="0" w:color="auto"/>
              <w:right w:val="single" w:sz="4" w:space="0" w:color="auto"/>
            </w:tcBorders>
            <w:vAlign w:val="center"/>
          </w:tcPr>
          <w:p w:rsidR="00107120" w:rsidRPr="003970EC" w:rsidRDefault="00362E43" w:rsidP="00FE09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PH слюны</w:t>
            </w:r>
          </w:p>
        </w:tc>
        <w:tc>
          <w:tcPr>
            <w:tcW w:w="1736" w:type="dxa"/>
            <w:tcBorders>
              <w:top w:val="nil"/>
              <w:left w:val="nil"/>
              <w:bottom w:val="single" w:sz="4" w:space="0" w:color="auto"/>
              <w:right w:val="single" w:sz="4" w:space="0" w:color="auto"/>
            </w:tcBorders>
            <w:vAlign w:val="center"/>
          </w:tcPr>
          <w:p w:rsidR="00107120" w:rsidRPr="003970EC" w:rsidRDefault="00107120" w:rsidP="00FE09CB">
            <w:pPr>
              <w:spacing w:after="0" w:line="360" w:lineRule="auto"/>
              <w:jc w:val="both"/>
              <w:rPr>
                <w:rFonts w:ascii="Times New Roman" w:hAnsi="Times New Roman" w:cs="Times New Roman"/>
                <w:sz w:val="24"/>
                <w:szCs w:val="24"/>
              </w:rPr>
            </w:pPr>
            <w:r w:rsidRPr="003970EC">
              <w:rPr>
                <w:rFonts w:ascii="Times New Roman" w:hAnsi="Times New Roman" w:cs="Times New Roman"/>
                <w:sz w:val="24"/>
                <w:szCs w:val="24"/>
              </w:rPr>
              <w:t>6,42±0,03</w:t>
            </w:r>
          </w:p>
        </w:tc>
        <w:tc>
          <w:tcPr>
            <w:tcW w:w="1737" w:type="dxa"/>
            <w:tcBorders>
              <w:top w:val="nil"/>
              <w:left w:val="nil"/>
              <w:bottom w:val="single" w:sz="4" w:space="0" w:color="auto"/>
              <w:right w:val="single" w:sz="4" w:space="0" w:color="auto"/>
            </w:tcBorders>
            <w:vAlign w:val="center"/>
          </w:tcPr>
          <w:p w:rsidR="00107120" w:rsidRPr="003970EC" w:rsidRDefault="00107120" w:rsidP="00FE09CB">
            <w:pPr>
              <w:spacing w:after="0" w:line="360" w:lineRule="auto"/>
              <w:ind w:firstLine="44"/>
              <w:jc w:val="both"/>
              <w:rPr>
                <w:rFonts w:ascii="Times New Roman" w:hAnsi="Times New Roman" w:cs="Times New Roman"/>
                <w:sz w:val="24"/>
                <w:szCs w:val="24"/>
              </w:rPr>
            </w:pPr>
            <w:r w:rsidRPr="003970EC">
              <w:rPr>
                <w:rFonts w:ascii="Times New Roman" w:hAnsi="Times New Roman" w:cs="Times New Roman"/>
                <w:sz w:val="24"/>
                <w:szCs w:val="24"/>
              </w:rPr>
              <w:t>6,8±0,05*</w:t>
            </w:r>
          </w:p>
        </w:tc>
        <w:tc>
          <w:tcPr>
            <w:tcW w:w="1736" w:type="dxa"/>
            <w:tcBorders>
              <w:top w:val="nil"/>
              <w:left w:val="nil"/>
              <w:bottom w:val="single" w:sz="4" w:space="0" w:color="auto"/>
              <w:right w:val="single" w:sz="4" w:space="0" w:color="auto"/>
            </w:tcBorders>
            <w:vAlign w:val="center"/>
          </w:tcPr>
          <w:p w:rsidR="00107120" w:rsidRPr="003970EC" w:rsidRDefault="00107120" w:rsidP="00FE09CB">
            <w:pPr>
              <w:spacing w:after="0" w:line="360" w:lineRule="auto"/>
              <w:jc w:val="both"/>
              <w:rPr>
                <w:rFonts w:ascii="Times New Roman" w:hAnsi="Times New Roman" w:cs="Times New Roman"/>
                <w:sz w:val="24"/>
                <w:szCs w:val="24"/>
              </w:rPr>
            </w:pPr>
            <w:r w:rsidRPr="003970EC">
              <w:rPr>
                <w:rFonts w:ascii="Times New Roman" w:hAnsi="Times New Roman" w:cs="Times New Roman"/>
                <w:sz w:val="24"/>
                <w:szCs w:val="24"/>
              </w:rPr>
              <w:t>6,46±0,015</w:t>
            </w:r>
          </w:p>
        </w:tc>
        <w:tc>
          <w:tcPr>
            <w:tcW w:w="1737" w:type="dxa"/>
            <w:tcBorders>
              <w:top w:val="nil"/>
              <w:left w:val="nil"/>
              <w:bottom w:val="single" w:sz="4" w:space="0" w:color="auto"/>
              <w:right w:val="single" w:sz="4" w:space="0" w:color="auto"/>
            </w:tcBorders>
            <w:vAlign w:val="center"/>
          </w:tcPr>
          <w:p w:rsidR="00107120" w:rsidRPr="003970EC" w:rsidRDefault="00107120" w:rsidP="00FE09CB">
            <w:pPr>
              <w:spacing w:after="0" w:line="360" w:lineRule="auto"/>
              <w:jc w:val="both"/>
              <w:rPr>
                <w:rFonts w:ascii="Times New Roman" w:hAnsi="Times New Roman" w:cs="Times New Roman"/>
                <w:sz w:val="24"/>
                <w:szCs w:val="24"/>
              </w:rPr>
            </w:pPr>
            <w:r w:rsidRPr="003970EC">
              <w:rPr>
                <w:rFonts w:ascii="Times New Roman" w:hAnsi="Times New Roman" w:cs="Times New Roman"/>
                <w:sz w:val="24"/>
                <w:szCs w:val="24"/>
              </w:rPr>
              <w:t>6,6±0,013</w:t>
            </w:r>
          </w:p>
        </w:tc>
      </w:tr>
    </w:tbl>
    <w:p w:rsidR="00034736" w:rsidRPr="003970EC" w:rsidRDefault="00034736" w:rsidP="00673E12">
      <w:pPr>
        <w:spacing w:after="0" w:line="360" w:lineRule="auto"/>
        <w:ind w:firstLine="709"/>
        <w:jc w:val="both"/>
        <w:rPr>
          <w:rFonts w:ascii="Times New Roman" w:hAnsi="Times New Roman" w:cs="Times New Roman"/>
          <w:sz w:val="24"/>
          <w:szCs w:val="24"/>
        </w:rPr>
      </w:pPr>
      <w:r w:rsidRPr="003970EC">
        <w:rPr>
          <w:rFonts w:ascii="Times New Roman" w:hAnsi="Times New Roman" w:cs="Times New Roman"/>
          <w:sz w:val="24"/>
          <w:szCs w:val="24"/>
        </w:rPr>
        <w:t xml:space="preserve">Примечание: * – достоверность отличия средних показателей в группах до и после лечения </w:t>
      </w:r>
      <w:r w:rsidR="00107120" w:rsidRPr="003970EC">
        <w:rPr>
          <w:rFonts w:ascii="Times New Roman" w:hAnsi="Times New Roman" w:cs="Times New Roman"/>
          <w:sz w:val="24"/>
          <w:szCs w:val="24"/>
        </w:rPr>
        <w:t>(р</w:t>
      </w:r>
      <w:r w:rsidR="00107120" w:rsidRPr="003970EC">
        <w:rPr>
          <w:rFonts w:ascii="Times New Roman" w:hAnsi="Times New Roman" w:cs="Times New Roman"/>
          <w:sz w:val="24"/>
          <w:szCs w:val="24"/>
        </w:rPr>
        <w:sym w:font="Symbol" w:char="F0A3"/>
      </w:r>
      <w:r w:rsidR="00107120" w:rsidRPr="003970EC">
        <w:rPr>
          <w:rFonts w:ascii="Times New Roman" w:hAnsi="Times New Roman" w:cs="Times New Roman"/>
          <w:sz w:val="24"/>
          <w:szCs w:val="24"/>
        </w:rPr>
        <w:t>0,05)</w:t>
      </w:r>
    </w:p>
    <w:p w:rsidR="00034736" w:rsidRPr="003970EC" w:rsidRDefault="00034736" w:rsidP="00673E12">
      <w:pPr>
        <w:spacing w:after="0" w:line="360" w:lineRule="auto"/>
        <w:ind w:firstLine="709"/>
        <w:jc w:val="both"/>
        <w:rPr>
          <w:rFonts w:ascii="Times New Roman" w:hAnsi="Times New Roman" w:cs="Times New Roman"/>
          <w:sz w:val="24"/>
          <w:szCs w:val="24"/>
        </w:rPr>
      </w:pPr>
      <w:r w:rsidRPr="003970EC">
        <w:rPr>
          <w:rFonts w:ascii="Times New Roman" w:hAnsi="Times New Roman" w:cs="Times New Roman"/>
          <w:sz w:val="24"/>
          <w:szCs w:val="24"/>
        </w:rPr>
        <w:t>Через месяц после курса лечения в основной группе отмечена тенденция к нормализации показателя рН слюны, индивидуальные значения возросли до 6,6-7,0. Средняя величина концентрации водородных ионов ротовой жидкости увеличилась на 5,9 % и составляла 6,80±0,05.</w:t>
      </w:r>
    </w:p>
    <w:p w:rsidR="00034736" w:rsidRPr="003970EC" w:rsidRDefault="00034736" w:rsidP="00673E12">
      <w:pPr>
        <w:spacing w:after="0" w:line="360" w:lineRule="auto"/>
        <w:ind w:firstLine="709"/>
        <w:jc w:val="both"/>
        <w:rPr>
          <w:rFonts w:ascii="Times New Roman" w:hAnsi="Times New Roman" w:cs="Times New Roman"/>
          <w:sz w:val="24"/>
          <w:szCs w:val="24"/>
        </w:rPr>
      </w:pPr>
      <w:r w:rsidRPr="003970EC">
        <w:rPr>
          <w:rFonts w:ascii="Times New Roman" w:hAnsi="Times New Roman" w:cs="Times New Roman"/>
          <w:sz w:val="24"/>
          <w:szCs w:val="24"/>
        </w:rPr>
        <w:t xml:space="preserve"> После лечения в  группе сравнения индивидуальные значения показателя водородного иона слюны находились в пределах от 6,4 до 6,8  со средним значением рН, равным 6,6±0,013, величина которого достоверно отличалась от значения показателя    рН в основной группе (р ‹ 0,05).                                       </w:t>
      </w:r>
    </w:p>
    <w:p w:rsidR="000C6AFF" w:rsidRPr="003970EC" w:rsidRDefault="00034736" w:rsidP="00673E12">
      <w:pPr>
        <w:spacing w:after="0" w:line="360" w:lineRule="auto"/>
        <w:ind w:firstLine="709"/>
        <w:jc w:val="both"/>
        <w:rPr>
          <w:rFonts w:ascii="Times New Roman" w:hAnsi="Times New Roman" w:cs="Times New Roman"/>
          <w:sz w:val="24"/>
          <w:szCs w:val="24"/>
        </w:rPr>
      </w:pPr>
      <w:r w:rsidRPr="003970EC">
        <w:rPr>
          <w:rFonts w:ascii="Times New Roman" w:hAnsi="Times New Roman" w:cs="Times New Roman"/>
          <w:sz w:val="24"/>
          <w:szCs w:val="24"/>
        </w:rPr>
        <w:t xml:space="preserve">Изучение минерализующих свойств ротовой жидкости проведено у 50 студентов с помощью определения типа ее микрокристаллизации. Исходные данные показателя МК слюны позволили установить преобладание II типа микрокристаллизации у 57,5 % человек основной группы и у 56,7 % - в  группе сравнения. Хорошие минерализующие свойства слюны с определением I типа микросталлизации выявлены в 17,7 % случаев у студентов основной группы и в 18,2% наблюдений в группе сравнения. Низкий уровень </w:t>
      </w:r>
      <w:r w:rsidRPr="003970EC">
        <w:rPr>
          <w:rFonts w:ascii="Times New Roman" w:hAnsi="Times New Roman" w:cs="Times New Roman"/>
          <w:sz w:val="24"/>
          <w:szCs w:val="24"/>
        </w:rPr>
        <w:lastRenderedPageBreak/>
        <w:t>минерализующего потенциала слюны установлен в основной группе в 58% случаев и в 56% - в группе сравнения с определением III</w:t>
      </w:r>
      <w:r w:rsidR="00107120" w:rsidRPr="003970EC">
        <w:rPr>
          <w:rFonts w:ascii="Times New Roman" w:hAnsi="Times New Roman" w:cs="Times New Roman"/>
          <w:sz w:val="24"/>
          <w:szCs w:val="24"/>
        </w:rPr>
        <w:t xml:space="preserve"> типа МК( табл.4</w:t>
      </w:r>
      <w:r w:rsidR="000C6AFF" w:rsidRPr="003970EC">
        <w:rPr>
          <w:rFonts w:ascii="Times New Roman" w:hAnsi="Times New Roman" w:cs="Times New Roman"/>
          <w:sz w:val="24"/>
          <w:szCs w:val="24"/>
        </w:rPr>
        <w:t>) .</w:t>
      </w:r>
    </w:p>
    <w:p w:rsidR="00107120" w:rsidRPr="003970EC" w:rsidRDefault="00107120" w:rsidP="00FE09CB">
      <w:pPr>
        <w:spacing w:after="0" w:line="360" w:lineRule="auto"/>
        <w:ind w:firstLine="709"/>
        <w:jc w:val="right"/>
        <w:rPr>
          <w:rFonts w:ascii="Times New Roman" w:hAnsi="Times New Roman" w:cs="Times New Roman"/>
          <w:sz w:val="24"/>
          <w:szCs w:val="24"/>
        </w:rPr>
      </w:pPr>
      <w:r w:rsidRPr="003970EC">
        <w:rPr>
          <w:rFonts w:ascii="Times New Roman" w:hAnsi="Times New Roman" w:cs="Times New Roman"/>
          <w:sz w:val="24"/>
          <w:szCs w:val="24"/>
        </w:rPr>
        <w:t>Таблица 4</w:t>
      </w:r>
    </w:p>
    <w:p w:rsidR="000C6AFF" w:rsidRPr="00FE09CB" w:rsidRDefault="000C6AFF" w:rsidP="00FE09CB">
      <w:pPr>
        <w:spacing w:after="0" w:line="360" w:lineRule="auto"/>
        <w:ind w:firstLine="709"/>
        <w:jc w:val="center"/>
        <w:rPr>
          <w:rFonts w:ascii="Times New Roman" w:hAnsi="Times New Roman" w:cs="Times New Roman"/>
          <w:b/>
          <w:bCs/>
          <w:sz w:val="24"/>
          <w:szCs w:val="24"/>
        </w:rPr>
      </w:pPr>
      <w:r w:rsidRPr="00FE09CB">
        <w:rPr>
          <w:rFonts w:ascii="Times New Roman" w:hAnsi="Times New Roman" w:cs="Times New Roman"/>
          <w:b/>
          <w:bCs/>
          <w:sz w:val="24"/>
          <w:szCs w:val="24"/>
        </w:rPr>
        <w:t>Изменение типа микрокристаллизации слюны у студентов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1827"/>
        <w:gridCol w:w="1813"/>
        <w:gridCol w:w="1828"/>
        <w:gridCol w:w="1814"/>
      </w:tblGrid>
      <w:tr w:rsidR="003970EC" w:rsidRPr="00311FD6" w:rsidTr="00311FD6">
        <w:tc>
          <w:tcPr>
            <w:tcW w:w="2289" w:type="dxa"/>
            <w:vMerge w:val="restart"/>
            <w:shd w:val="clear" w:color="auto" w:fill="auto"/>
            <w:vAlign w:val="center"/>
          </w:tcPr>
          <w:p w:rsidR="003970EC" w:rsidRPr="00311FD6" w:rsidRDefault="003970EC" w:rsidP="00311FD6">
            <w:pPr>
              <w:spacing w:after="0" w:line="360" w:lineRule="auto"/>
              <w:jc w:val="center"/>
              <w:rPr>
                <w:rFonts w:ascii="Times New Roman" w:hAnsi="Times New Roman" w:cs="Times New Roman"/>
                <w:sz w:val="24"/>
                <w:szCs w:val="24"/>
              </w:rPr>
            </w:pPr>
            <w:r w:rsidRPr="00311FD6">
              <w:rPr>
                <w:rFonts w:ascii="Times New Roman" w:hAnsi="Times New Roman" w:cs="Times New Roman"/>
                <w:sz w:val="24"/>
                <w:szCs w:val="24"/>
              </w:rPr>
              <w:t>Тип микрокристаллизации слюны в  %</w:t>
            </w:r>
          </w:p>
        </w:tc>
        <w:tc>
          <w:tcPr>
            <w:tcW w:w="3640" w:type="dxa"/>
            <w:gridSpan w:val="2"/>
            <w:shd w:val="clear" w:color="auto" w:fill="auto"/>
            <w:vAlign w:val="center"/>
          </w:tcPr>
          <w:p w:rsidR="003970EC" w:rsidRPr="00311FD6" w:rsidRDefault="003970EC" w:rsidP="00311FD6">
            <w:pPr>
              <w:spacing w:after="0" w:line="360" w:lineRule="auto"/>
              <w:ind w:firstLine="709"/>
              <w:jc w:val="center"/>
              <w:rPr>
                <w:rFonts w:ascii="Times New Roman" w:hAnsi="Times New Roman" w:cs="Times New Roman"/>
                <w:sz w:val="24"/>
                <w:szCs w:val="24"/>
              </w:rPr>
            </w:pPr>
            <w:r w:rsidRPr="00311FD6">
              <w:rPr>
                <w:rFonts w:ascii="Times New Roman" w:hAnsi="Times New Roman" w:cs="Times New Roman"/>
                <w:sz w:val="24"/>
                <w:szCs w:val="24"/>
              </w:rPr>
              <w:t>основная группа, n=24</w:t>
            </w:r>
          </w:p>
        </w:tc>
        <w:tc>
          <w:tcPr>
            <w:tcW w:w="3642" w:type="dxa"/>
            <w:gridSpan w:val="2"/>
            <w:shd w:val="clear" w:color="auto" w:fill="auto"/>
            <w:vAlign w:val="center"/>
          </w:tcPr>
          <w:p w:rsidR="003970EC" w:rsidRPr="00311FD6" w:rsidRDefault="003970EC" w:rsidP="00311FD6">
            <w:pPr>
              <w:spacing w:after="0" w:line="360" w:lineRule="auto"/>
              <w:ind w:firstLine="709"/>
              <w:jc w:val="center"/>
              <w:rPr>
                <w:rFonts w:ascii="Times New Roman" w:hAnsi="Times New Roman" w:cs="Times New Roman"/>
                <w:sz w:val="24"/>
                <w:szCs w:val="24"/>
              </w:rPr>
            </w:pPr>
            <w:r w:rsidRPr="00311FD6">
              <w:rPr>
                <w:rFonts w:ascii="Times New Roman" w:hAnsi="Times New Roman" w:cs="Times New Roman"/>
                <w:sz w:val="24"/>
                <w:szCs w:val="24"/>
              </w:rPr>
              <w:t>группа сравнения, n=26</w:t>
            </w:r>
          </w:p>
        </w:tc>
      </w:tr>
      <w:tr w:rsidR="00311FD6" w:rsidRPr="00311FD6" w:rsidTr="00311FD6">
        <w:tc>
          <w:tcPr>
            <w:tcW w:w="2289" w:type="dxa"/>
            <w:vMerge/>
            <w:shd w:val="clear" w:color="auto" w:fill="auto"/>
            <w:vAlign w:val="center"/>
          </w:tcPr>
          <w:p w:rsidR="003970EC" w:rsidRPr="00311FD6" w:rsidRDefault="003970EC" w:rsidP="00311FD6">
            <w:pPr>
              <w:spacing w:after="0" w:line="360" w:lineRule="auto"/>
              <w:ind w:firstLine="709"/>
              <w:jc w:val="center"/>
              <w:rPr>
                <w:rFonts w:ascii="Times New Roman" w:hAnsi="Times New Roman" w:cs="Times New Roman"/>
                <w:sz w:val="24"/>
                <w:szCs w:val="24"/>
              </w:rPr>
            </w:pPr>
          </w:p>
        </w:tc>
        <w:tc>
          <w:tcPr>
            <w:tcW w:w="1827" w:type="dxa"/>
            <w:shd w:val="clear" w:color="auto" w:fill="auto"/>
            <w:vAlign w:val="center"/>
          </w:tcPr>
          <w:p w:rsidR="003970EC" w:rsidRPr="00311FD6" w:rsidRDefault="003970EC" w:rsidP="00311FD6">
            <w:pPr>
              <w:spacing w:after="0" w:line="360" w:lineRule="auto"/>
              <w:ind w:firstLine="29"/>
              <w:jc w:val="center"/>
              <w:rPr>
                <w:rFonts w:ascii="Times New Roman" w:hAnsi="Times New Roman" w:cs="Times New Roman"/>
                <w:sz w:val="24"/>
                <w:szCs w:val="24"/>
              </w:rPr>
            </w:pPr>
            <w:r w:rsidRPr="00311FD6">
              <w:rPr>
                <w:rFonts w:ascii="Times New Roman" w:hAnsi="Times New Roman" w:cs="Times New Roman"/>
                <w:sz w:val="24"/>
                <w:szCs w:val="24"/>
              </w:rPr>
              <w:t>До лечения</w:t>
            </w:r>
          </w:p>
        </w:tc>
        <w:tc>
          <w:tcPr>
            <w:tcW w:w="1813" w:type="dxa"/>
            <w:shd w:val="clear" w:color="auto" w:fill="auto"/>
            <w:vAlign w:val="center"/>
          </w:tcPr>
          <w:p w:rsidR="003970EC" w:rsidRPr="00311FD6" w:rsidRDefault="003970EC" w:rsidP="00311FD6">
            <w:pPr>
              <w:spacing w:after="0" w:line="360" w:lineRule="auto"/>
              <w:ind w:firstLine="2"/>
              <w:jc w:val="center"/>
              <w:rPr>
                <w:rFonts w:ascii="Times New Roman" w:hAnsi="Times New Roman" w:cs="Times New Roman"/>
                <w:sz w:val="24"/>
                <w:szCs w:val="24"/>
              </w:rPr>
            </w:pPr>
            <w:r w:rsidRPr="00311FD6">
              <w:rPr>
                <w:rFonts w:ascii="Times New Roman" w:hAnsi="Times New Roman" w:cs="Times New Roman"/>
                <w:sz w:val="24"/>
                <w:szCs w:val="24"/>
              </w:rPr>
              <w:t>Через 1 месяц</w:t>
            </w:r>
          </w:p>
        </w:tc>
        <w:tc>
          <w:tcPr>
            <w:tcW w:w="1828" w:type="dxa"/>
            <w:shd w:val="clear" w:color="auto" w:fill="auto"/>
            <w:vAlign w:val="center"/>
          </w:tcPr>
          <w:p w:rsidR="003970EC" w:rsidRPr="00311FD6" w:rsidRDefault="003970EC" w:rsidP="00311FD6">
            <w:pPr>
              <w:spacing w:after="0" w:line="360" w:lineRule="auto"/>
              <w:jc w:val="center"/>
              <w:rPr>
                <w:rFonts w:ascii="Times New Roman" w:hAnsi="Times New Roman" w:cs="Times New Roman"/>
                <w:sz w:val="24"/>
                <w:szCs w:val="24"/>
              </w:rPr>
            </w:pPr>
            <w:r w:rsidRPr="00311FD6">
              <w:rPr>
                <w:rFonts w:ascii="Times New Roman" w:hAnsi="Times New Roman" w:cs="Times New Roman"/>
                <w:sz w:val="24"/>
                <w:szCs w:val="24"/>
              </w:rPr>
              <w:t>До лечения</w:t>
            </w:r>
          </w:p>
        </w:tc>
        <w:tc>
          <w:tcPr>
            <w:tcW w:w="1814" w:type="dxa"/>
            <w:shd w:val="clear" w:color="auto" w:fill="auto"/>
            <w:vAlign w:val="center"/>
          </w:tcPr>
          <w:p w:rsidR="003970EC" w:rsidRPr="00311FD6" w:rsidRDefault="003970EC" w:rsidP="00311FD6">
            <w:pPr>
              <w:spacing w:after="0" w:line="360" w:lineRule="auto"/>
              <w:jc w:val="center"/>
              <w:rPr>
                <w:rFonts w:ascii="Times New Roman" w:hAnsi="Times New Roman" w:cs="Times New Roman"/>
                <w:sz w:val="24"/>
                <w:szCs w:val="24"/>
              </w:rPr>
            </w:pPr>
            <w:r w:rsidRPr="00311FD6">
              <w:rPr>
                <w:rFonts w:ascii="Times New Roman" w:hAnsi="Times New Roman" w:cs="Times New Roman"/>
                <w:sz w:val="24"/>
                <w:szCs w:val="24"/>
              </w:rPr>
              <w:t>Через 1 месяц</w:t>
            </w:r>
          </w:p>
        </w:tc>
      </w:tr>
      <w:tr w:rsidR="00311FD6" w:rsidRPr="00311FD6" w:rsidTr="00311FD6">
        <w:tc>
          <w:tcPr>
            <w:tcW w:w="2289" w:type="dxa"/>
            <w:shd w:val="clear" w:color="auto" w:fill="auto"/>
            <w:vAlign w:val="center"/>
          </w:tcPr>
          <w:p w:rsidR="003970EC" w:rsidRPr="00311FD6" w:rsidRDefault="003970EC" w:rsidP="00311FD6">
            <w:pPr>
              <w:spacing w:after="0" w:line="360" w:lineRule="auto"/>
              <w:ind w:firstLine="709"/>
              <w:jc w:val="center"/>
              <w:rPr>
                <w:rFonts w:ascii="Times New Roman" w:hAnsi="Times New Roman" w:cs="Times New Roman"/>
                <w:sz w:val="24"/>
                <w:szCs w:val="24"/>
              </w:rPr>
            </w:pPr>
            <w:r w:rsidRPr="00311FD6">
              <w:rPr>
                <w:rFonts w:ascii="Times New Roman" w:hAnsi="Times New Roman" w:cs="Times New Roman"/>
                <w:sz w:val="24"/>
                <w:szCs w:val="24"/>
              </w:rPr>
              <w:t>I</w:t>
            </w:r>
          </w:p>
        </w:tc>
        <w:tc>
          <w:tcPr>
            <w:tcW w:w="1827" w:type="dxa"/>
            <w:shd w:val="clear" w:color="auto" w:fill="auto"/>
            <w:vAlign w:val="center"/>
          </w:tcPr>
          <w:p w:rsidR="003970EC" w:rsidRPr="00311FD6" w:rsidRDefault="003970EC" w:rsidP="00311FD6">
            <w:pPr>
              <w:spacing w:after="0" w:line="360" w:lineRule="auto"/>
              <w:ind w:firstLine="709"/>
              <w:jc w:val="center"/>
              <w:rPr>
                <w:rFonts w:ascii="Times New Roman" w:hAnsi="Times New Roman" w:cs="Times New Roman"/>
                <w:sz w:val="24"/>
                <w:szCs w:val="24"/>
              </w:rPr>
            </w:pPr>
            <w:r w:rsidRPr="00311FD6">
              <w:rPr>
                <w:rFonts w:ascii="Times New Roman" w:hAnsi="Times New Roman" w:cs="Times New Roman"/>
                <w:sz w:val="24"/>
                <w:szCs w:val="24"/>
              </w:rPr>
              <w:t>17,7</w:t>
            </w:r>
          </w:p>
        </w:tc>
        <w:tc>
          <w:tcPr>
            <w:tcW w:w="1813" w:type="dxa"/>
            <w:shd w:val="clear" w:color="auto" w:fill="auto"/>
            <w:vAlign w:val="center"/>
          </w:tcPr>
          <w:p w:rsidR="003970EC" w:rsidRPr="00311FD6" w:rsidRDefault="003970EC" w:rsidP="00311FD6">
            <w:pPr>
              <w:spacing w:after="0" w:line="360" w:lineRule="auto"/>
              <w:ind w:firstLine="709"/>
              <w:jc w:val="center"/>
              <w:rPr>
                <w:rFonts w:ascii="Times New Roman" w:hAnsi="Times New Roman" w:cs="Times New Roman"/>
                <w:sz w:val="24"/>
                <w:szCs w:val="24"/>
              </w:rPr>
            </w:pPr>
            <w:r w:rsidRPr="00311FD6">
              <w:rPr>
                <w:rFonts w:ascii="Times New Roman" w:hAnsi="Times New Roman" w:cs="Times New Roman"/>
                <w:sz w:val="24"/>
                <w:szCs w:val="24"/>
              </w:rPr>
              <w:t>25,5</w:t>
            </w:r>
          </w:p>
        </w:tc>
        <w:tc>
          <w:tcPr>
            <w:tcW w:w="1828" w:type="dxa"/>
            <w:shd w:val="clear" w:color="auto" w:fill="auto"/>
            <w:vAlign w:val="center"/>
          </w:tcPr>
          <w:p w:rsidR="003970EC" w:rsidRPr="00311FD6" w:rsidRDefault="003970EC" w:rsidP="00311FD6">
            <w:pPr>
              <w:spacing w:after="0" w:line="360" w:lineRule="auto"/>
              <w:jc w:val="center"/>
              <w:rPr>
                <w:rFonts w:ascii="Times New Roman" w:hAnsi="Times New Roman" w:cs="Times New Roman"/>
                <w:sz w:val="24"/>
                <w:szCs w:val="24"/>
              </w:rPr>
            </w:pPr>
            <w:r w:rsidRPr="00311FD6">
              <w:rPr>
                <w:rFonts w:ascii="Times New Roman" w:hAnsi="Times New Roman" w:cs="Times New Roman"/>
                <w:sz w:val="24"/>
                <w:szCs w:val="24"/>
              </w:rPr>
              <w:t>17,2</w:t>
            </w:r>
          </w:p>
        </w:tc>
        <w:tc>
          <w:tcPr>
            <w:tcW w:w="1814" w:type="dxa"/>
            <w:shd w:val="clear" w:color="auto" w:fill="auto"/>
            <w:vAlign w:val="center"/>
          </w:tcPr>
          <w:p w:rsidR="003970EC" w:rsidRPr="00311FD6" w:rsidRDefault="003970EC" w:rsidP="00311FD6">
            <w:pPr>
              <w:spacing w:after="0" w:line="360" w:lineRule="auto"/>
              <w:jc w:val="center"/>
              <w:rPr>
                <w:rFonts w:ascii="Times New Roman" w:hAnsi="Times New Roman" w:cs="Times New Roman"/>
                <w:sz w:val="24"/>
                <w:szCs w:val="24"/>
              </w:rPr>
            </w:pPr>
            <w:r w:rsidRPr="00311FD6">
              <w:rPr>
                <w:rFonts w:ascii="Times New Roman" w:hAnsi="Times New Roman" w:cs="Times New Roman"/>
                <w:sz w:val="24"/>
                <w:szCs w:val="24"/>
              </w:rPr>
              <w:t>18,6</w:t>
            </w:r>
          </w:p>
        </w:tc>
      </w:tr>
      <w:tr w:rsidR="00311FD6" w:rsidRPr="00311FD6" w:rsidTr="00311FD6">
        <w:tc>
          <w:tcPr>
            <w:tcW w:w="2289" w:type="dxa"/>
            <w:shd w:val="clear" w:color="auto" w:fill="auto"/>
            <w:vAlign w:val="center"/>
          </w:tcPr>
          <w:p w:rsidR="003970EC" w:rsidRPr="00311FD6" w:rsidRDefault="003970EC" w:rsidP="00311FD6">
            <w:pPr>
              <w:spacing w:after="0" w:line="360" w:lineRule="auto"/>
              <w:ind w:firstLine="709"/>
              <w:jc w:val="center"/>
              <w:rPr>
                <w:rFonts w:ascii="Times New Roman" w:hAnsi="Times New Roman" w:cs="Times New Roman"/>
                <w:sz w:val="24"/>
                <w:szCs w:val="24"/>
              </w:rPr>
            </w:pPr>
            <w:r w:rsidRPr="00311FD6">
              <w:rPr>
                <w:rFonts w:ascii="Times New Roman" w:hAnsi="Times New Roman" w:cs="Times New Roman"/>
                <w:sz w:val="24"/>
                <w:szCs w:val="24"/>
              </w:rPr>
              <w:t>II</w:t>
            </w:r>
          </w:p>
        </w:tc>
        <w:tc>
          <w:tcPr>
            <w:tcW w:w="1827" w:type="dxa"/>
            <w:shd w:val="clear" w:color="auto" w:fill="auto"/>
            <w:vAlign w:val="center"/>
          </w:tcPr>
          <w:p w:rsidR="003970EC" w:rsidRPr="00311FD6" w:rsidRDefault="003970EC" w:rsidP="00311FD6">
            <w:pPr>
              <w:spacing w:after="0" w:line="360" w:lineRule="auto"/>
              <w:ind w:firstLine="709"/>
              <w:jc w:val="center"/>
              <w:rPr>
                <w:rFonts w:ascii="Times New Roman" w:hAnsi="Times New Roman" w:cs="Times New Roman"/>
                <w:sz w:val="24"/>
                <w:szCs w:val="24"/>
              </w:rPr>
            </w:pPr>
            <w:r w:rsidRPr="00311FD6">
              <w:rPr>
                <w:rFonts w:ascii="Times New Roman" w:hAnsi="Times New Roman" w:cs="Times New Roman"/>
                <w:sz w:val="24"/>
                <w:szCs w:val="24"/>
              </w:rPr>
              <w:t>57,5</w:t>
            </w:r>
          </w:p>
        </w:tc>
        <w:tc>
          <w:tcPr>
            <w:tcW w:w="1813" w:type="dxa"/>
            <w:shd w:val="clear" w:color="auto" w:fill="auto"/>
            <w:vAlign w:val="center"/>
          </w:tcPr>
          <w:p w:rsidR="003970EC" w:rsidRPr="00311FD6" w:rsidRDefault="003970EC" w:rsidP="00311FD6">
            <w:pPr>
              <w:spacing w:after="0" w:line="360" w:lineRule="auto"/>
              <w:ind w:firstLine="709"/>
              <w:jc w:val="center"/>
              <w:rPr>
                <w:rFonts w:ascii="Times New Roman" w:hAnsi="Times New Roman" w:cs="Times New Roman"/>
                <w:sz w:val="24"/>
                <w:szCs w:val="24"/>
              </w:rPr>
            </w:pPr>
            <w:r w:rsidRPr="00311FD6">
              <w:rPr>
                <w:rFonts w:ascii="Times New Roman" w:hAnsi="Times New Roman" w:cs="Times New Roman"/>
                <w:sz w:val="24"/>
                <w:szCs w:val="24"/>
              </w:rPr>
              <w:t>61,3</w:t>
            </w:r>
          </w:p>
        </w:tc>
        <w:tc>
          <w:tcPr>
            <w:tcW w:w="1828" w:type="dxa"/>
            <w:shd w:val="clear" w:color="auto" w:fill="auto"/>
            <w:vAlign w:val="center"/>
          </w:tcPr>
          <w:p w:rsidR="003970EC" w:rsidRPr="00311FD6" w:rsidRDefault="003970EC" w:rsidP="00311FD6">
            <w:pPr>
              <w:spacing w:after="0" w:line="360" w:lineRule="auto"/>
              <w:jc w:val="center"/>
              <w:rPr>
                <w:rFonts w:ascii="Times New Roman" w:hAnsi="Times New Roman" w:cs="Times New Roman"/>
                <w:sz w:val="24"/>
                <w:szCs w:val="24"/>
              </w:rPr>
            </w:pPr>
            <w:r w:rsidRPr="00311FD6">
              <w:rPr>
                <w:rFonts w:ascii="Times New Roman" w:hAnsi="Times New Roman" w:cs="Times New Roman"/>
                <w:sz w:val="24"/>
                <w:szCs w:val="24"/>
              </w:rPr>
              <w:t>56,7</w:t>
            </w:r>
          </w:p>
        </w:tc>
        <w:tc>
          <w:tcPr>
            <w:tcW w:w="1814" w:type="dxa"/>
            <w:shd w:val="clear" w:color="auto" w:fill="auto"/>
            <w:vAlign w:val="center"/>
          </w:tcPr>
          <w:p w:rsidR="003970EC" w:rsidRPr="00311FD6" w:rsidRDefault="003970EC" w:rsidP="00311FD6">
            <w:pPr>
              <w:spacing w:after="0" w:line="360" w:lineRule="auto"/>
              <w:jc w:val="center"/>
              <w:rPr>
                <w:rFonts w:ascii="Times New Roman" w:hAnsi="Times New Roman" w:cs="Times New Roman"/>
                <w:sz w:val="24"/>
                <w:szCs w:val="24"/>
              </w:rPr>
            </w:pPr>
            <w:r w:rsidRPr="00311FD6">
              <w:rPr>
                <w:rFonts w:ascii="Times New Roman" w:hAnsi="Times New Roman" w:cs="Times New Roman"/>
                <w:sz w:val="24"/>
                <w:szCs w:val="24"/>
              </w:rPr>
              <w:t>58,1</w:t>
            </w:r>
          </w:p>
        </w:tc>
      </w:tr>
      <w:tr w:rsidR="00311FD6" w:rsidRPr="00311FD6" w:rsidTr="00311FD6">
        <w:trPr>
          <w:trHeight w:val="379"/>
        </w:trPr>
        <w:tc>
          <w:tcPr>
            <w:tcW w:w="2289" w:type="dxa"/>
            <w:shd w:val="clear" w:color="auto" w:fill="auto"/>
            <w:vAlign w:val="center"/>
          </w:tcPr>
          <w:p w:rsidR="003970EC" w:rsidRPr="00311FD6" w:rsidRDefault="003970EC" w:rsidP="00311FD6">
            <w:pPr>
              <w:spacing w:after="0" w:line="360" w:lineRule="auto"/>
              <w:ind w:firstLine="709"/>
              <w:jc w:val="center"/>
              <w:rPr>
                <w:rFonts w:ascii="Times New Roman" w:hAnsi="Times New Roman" w:cs="Times New Roman"/>
                <w:sz w:val="24"/>
                <w:szCs w:val="24"/>
              </w:rPr>
            </w:pPr>
            <w:r w:rsidRPr="00311FD6">
              <w:rPr>
                <w:rFonts w:ascii="Times New Roman" w:hAnsi="Times New Roman" w:cs="Times New Roman"/>
                <w:sz w:val="24"/>
                <w:szCs w:val="24"/>
              </w:rPr>
              <w:t>III</w:t>
            </w:r>
          </w:p>
        </w:tc>
        <w:tc>
          <w:tcPr>
            <w:tcW w:w="1827" w:type="dxa"/>
            <w:shd w:val="clear" w:color="auto" w:fill="auto"/>
            <w:vAlign w:val="center"/>
          </w:tcPr>
          <w:p w:rsidR="003970EC" w:rsidRPr="00311FD6" w:rsidRDefault="003970EC" w:rsidP="00311FD6">
            <w:pPr>
              <w:spacing w:after="0" w:line="360" w:lineRule="auto"/>
              <w:ind w:firstLine="709"/>
              <w:jc w:val="center"/>
              <w:rPr>
                <w:rFonts w:ascii="Times New Roman" w:hAnsi="Times New Roman" w:cs="Times New Roman"/>
                <w:sz w:val="24"/>
                <w:szCs w:val="24"/>
              </w:rPr>
            </w:pPr>
            <w:r w:rsidRPr="00311FD6">
              <w:rPr>
                <w:rFonts w:ascii="Times New Roman" w:hAnsi="Times New Roman" w:cs="Times New Roman"/>
                <w:sz w:val="24"/>
                <w:szCs w:val="24"/>
              </w:rPr>
              <w:t>24,8</w:t>
            </w:r>
          </w:p>
        </w:tc>
        <w:tc>
          <w:tcPr>
            <w:tcW w:w="1813" w:type="dxa"/>
            <w:shd w:val="clear" w:color="auto" w:fill="auto"/>
            <w:vAlign w:val="center"/>
          </w:tcPr>
          <w:p w:rsidR="003970EC" w:rsidRPr="00311FD6" w:rsidRDefault="003970EC" w:rsidP="00311FD6">
            <w:pPr>
              <w:spacing w:after="0" w:line="360" w:lineRule="auto"/>
              <w:ind w:firstLine="709"/>
              <w:jc w:val="center"/>
              <w:rPr>
                <w:rFonts w:ascii="Times New Roman" w:hAnsi="Times New Roman" w:cs="Times New Roman"/>
                <w:sz w:val="24"/>
                <w:szCs w:val="24"/>
              </w:rPr>
            </w:pPr>
            <w:r w:rsidRPr="00311FD6">
              <w:rPr>
                <w:rFonts w:ascii="Times New Roman" w:hAnsi="Times New Roman" w:cs="Times New Roman"/>
                <w:sz w:val="24"/>
                <w:szCs w:val="24"/>
              </w:rPr>
              <w:t>13,2</w:t>
            </w:r>
          </w:p>
        </w:tc>
        <w:tc>
          <w:tcPr>
            <w:tcW w:w="1828" w:type="dxa"/>
            <w:shd w:val="clear" w:color="auto" w:fill="auto"/>
            <w:vAlign w:val="center"/>
          </w:tcPr>
          <w:p w:rsidR="003970EC" w:rsidRPr="00311FD6" w:rsidRDefault="003970EC" w:rsidP="00311FD6">
            <w:pPr>
              <w:spacing w:after="0" w:line="360" w:lineRule="auto"/>
              <w:jc w:val="center"/>
              <w:rPr>
                <w:rFonts w:ascii="Times New Roman" w:hAnsi="Times New Roman" w:cs="Times New Roman"/>
                <w:sz w:val="24"/>
                <w:szCs w:val="24"/>
              </w:rPr>
            </w:pPr>
            <w:r w:rsidRPr="00311FD6">
              <w:rPr>
                <w:rFonts w:ascii="Times New Roman" w:hAnsi="Times New Roman" w:cs="Times New Roman"/>
                <w:sz w:val="24"/>
                <w:szCs w:val="24"/>
              </w:rPr>
              <w:t>26,1</w:t>
            </w:r>
          </w:p>
        </w:tc>
        <w:tc>
          <w:tcPr>
            <w:tcW w:w="1814" w:type="dxa"/>
            <w:shd w:val="clear" w:color="auto" w:fill="auto"/>
            <w:vAlign w:val="center"/>
          </w:tcPr>
          <w:p w:rsidR="003970EC" w:rsidRPr="00311FD6" w:rsidRDefault="003970EC" w:rsidP="00311FD6">
            <w:pPr>
              <w:spacing w:after="0" w:line="360" w:lineRule="auto"/>
              <w:jc w:val="center"/>
              <w:rPr>
                <w:rFonts w:ascii="Times New Roman" w:hAnsi="Times New Roman" w:cs="Times New Roman"/>
                <w:sz w:val="24"/>
                <w:szCs w:val="24"/>
              </w:rPr>
            </w:pPr>
            <w:r w:rsidRPr="00311FD6">
              <w:rPr>
                <w:rFonts w:ascii="Times New Roman" w:hAnsi="Times New Roman" w:cs="Times New Roman"/>
                <w:sz w:val="24"/>
                <w:szCs w:val="24"/>
              </w:rPr>
              <w:t>23,3</w:t>
            </w:r>
          </w:p>
        </w:tc>
      </w:tr>
    </w:tbl>
    <w:p w:rsidR="00034736" w:rsidRPr="003970EC" w:rsidRDefault="00034736" w:rsidP="00673E12">
      <w:pPr>
        <w:spacing w:after="0" w:line="360" w:lineRule="auto"/>
        <w:ind w:firstLine="709"/>
        <w:jc w:val="both"/>
        <w:rPr>
          <w:rFonts w:ascii="Times New Roman" w:hAnsi="Times New Roman" w:cs="Times New Roman"/>
          <w:sz w:val="24"/>
          <w:szCs w:val="24"/>
        </w:rPr>
      </w:pPr>
      <w:r w:rsidRPr="003970EC">
        <w:rPr>
          <w:rFonts w:ascii="Times New Roman" w:hAnsi="Times New Roman" w:cs="Times New Roman"/>
          <w:sz w:val="24"/>
          <w:szCs w:val="24"/>
        </w:rPr>
        <w:t>Через месяц после лечения  в обеих группах по- прежнему доминировал II тип МК, но произошли положительные изменения в перераспределении студентов с I и III типом МК. Так, в основной группе число молодых людей с низким уровнем минерализующего потенциала слюны- III тип уменьшилось в  1,9 раза, а число студентов с высоким уровнем МК слюны -  I  тип увеличилось в 1,4  раз. В группе сравнения определена положительная, н</w:t>
      </w:r>
      <w:r w:rsidR="006D2AE4" w:rsidRPr="003970EC">
        <w:rPr>
          <w:rFonts w:ascii="Times New Roman" w:hAnsi="Times New Roman" w:cs="Times New Roman"/>
          <w:sz w:val="24"/>
          <w:szCs w:val="24"/>
        </w:rPr>
        <w:t>о менее значимая динамика (т</w:t>
      </w:r>
      <w:r w:rsidR="00107120" w:rsidRPr="003970EC">
        <w:rPr>
          <w:rFonts w:ascii="Times New Roman" w:hAnsi="Times New Roman" w:cs="Times New Roman"/>
          <w:sz w:val="24"/>
          <w:szCs w:val="24"/>
        </w:rPr>
        <w:t>абл.4</w:t>
      </w:r>
      <w:r w:rsidRPr="003970EC">
        <w:rPr>
          <w:rFonts w:ascii="Times New Roman" w:hAnsi="Times New Roman" w:cs="Times New Roman"/>
          <w:sz w:val="24"/>
          <w:szCs w:val="24"/>
        </w:rPr>
        <w:t>)</w:t>
      </w:r>
      <w:r w:rsidR="006D2AE4" w:rsidRPr="003970EC">
        <w:rPr>
          <w:rFonts w:ascii="Times New Roman" w:hAnsi="Times New Roman" w:cs="Times New Roman"/>
          <w:sz w:val="24"/>
          <w:szCs w:val="24"/>
        </w:rPr>
        <w:t xml:space="preserve"> </w:t>
      </w:r>
    </w:p>
    <w:p w:rsidR="00034736" w:rsidRPr="003970EC" w:rsidRDefault="00034736" w:rsidP="00673E12">
      <w:pPr>
        <w:spacing w:after="0" w:line="360" w:lineRule="auto"/>
        <w:ind w:firstLine="709"/>
        <w:jc w:val="both"/>
        <w:rPr>
          <w:rFonts w:ascii="Times New Roman" w:hAnsi="Times New Roman" w:cs="Times New Roman"/>
          <w:sz w:val="24"/>
          <w:szCs w:val="24"/>
        </w:rPr>
      </w:pPr>
      <w:r w:rsidRPr="003970EC">
        <w:rPr>
          <w:rFonts w:ascii="Times New Roman" w:hAnsi="Times New Roman" w:cs="Times New Roman"/>
          <w:sz w:val="24"/>
          <w:szCs w:val="24"/>
        </w:rPr>
        <w:t>Параметры продукции провоспалительных цитокинов – IL-4 и IL-8 и таких важных компонентов слюны, как секреторный иммуноглобулин А и лизоцим, являются информативными показателями иммунного гомеостаза полости рта. Изучение этих показателей в слюне пациентов с ХГКГ до лечения свидетельствовало о повышении активности провоспалительных цитокинов и незначительном изменении других</w:t>
      </w:r>
      <w:r w:rsidR="00107120" w:rsidRPr="003970EC">
        <w:rPr>
          <w:rFonts w:ascii="Times New Roman" w:hAnsi="Times New Roman" w:cs="Times New Roman"/>
          <w:sz w:val="24"/>
          <w:szCs w:val="24"/>
        </w:rPr>
        <w:t xml:space="preserve"> параметров местного иммунитета.</w:t>
      </w:r>
    </w:p>
    <w:p w:rsidR="00034736" w:rsidRPr="003970EC" w:rsidRDefault="00034736" w:rsidP="00673E12">
      <w:pPr>
        <w:spacing w:after="0" w:line="360" w:lineRule="auto"/>
        <w:ind w:firstLine="709"/>
        <w:jc w:val="both"/>
        <w:rPr>
          <w:rFonts w:ascii="Times New Roman" w:hAnsi="Times New Roman" w:cs="Times New Roman"/>
          <w:sz w:val="24"/>
          <w:szCs w:val="24"/>
        </w:rPr>
      </w:pPr>
      <w:r w:rsidRPr="003970EC">
        <w:rPr>
          <w:rFonts w:ascii="Times New Roman" w:hAnsi="Times New Roman" w:cs="Times New Roman"/>
          <w:sz w:val="24"/>
          <w:szCs w:val="24"/>
        </w:rPr>
        <w:t>После курса лечения динамика локальных иммунологических показателей в обеих группах была позитивной, что подтвердило эффективность проведенной терапии. Однако  при анализе средних значений уровня интерлейкинов, секреторного иммуноглобулина  А и лизоцима слюны установлен достоверно лучший результат лечения пациентов с применением  минералотерапии</w:t>
      </w:r>
      <w:r w:rsidR="000C6AFF" w:rsidRPr="003970EC">
        <w:rPr>
          <w:rFonts w:ascii="Times New Roman" w:hAnsi="Times New Roman" w:cs="Times New Roman"/>
          <w:sz w:val="24"/>
          <w:szCs w:val="24"/>
        </w:rPr>
        <w:t xml:space="preserve"> (</w:t>
      </w:r>
      <w:r w:rsidR="00107120" w:rsidRPr="003970EC">
        <w:rPr>
          <w:rFonts w:ascii="Times New Roman" w:hAnsi="Times New Roman" w:cs="Times New Roman"/>
          <w:sz w:val="24"/>
          <w:szCs w:val="24"/>
        </w:rPr>
        <w:t>табл.5</w:t>
      </w:r>
      <w:r w:rsidR="000C6AFF" w:rsidRPr="003970EC">
        <w:rPr>
          <w:rFonts w:ascii="Times New Roman" w:hAnsi="Times New Roman" w:cs="Times New Roman"/>
          <w:sz w:val="24"/>
          <w:szCs w:val="24"/>
        </w:rPr>
        <w:t>)</w:t>
      </w:r>
      <w:r w:rsidRPr="003970EC">
        <w:rPr>
          <w:rFonts w:ascii="Times New Roman" w:hAnsi="Times New Roman" w:cs="Times New Roman"/>
          <w:sz w:val="24"/>
          <w:szCs w:val="24"/>
        </w:rPr>
        <w:t xml:space="preserve">. </w:t>
      </w:r>
    </w:p>
    <w:p w:rsidR="00034736" w:rsidRPr="003970EC" w:rsidRDefault="00FE09CB" w:rsidP="00FE09CB">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107120" w:rsidRPr="003970EC">
        <w:rPr>
          <w:rFonts w:ascii="Times New Roman" w:hAnsi="Times New Roman" w:cs="Times New Roman"/>
          <w:sz w:val="24"/>
          <w:szCs w:val="24"/>
        </w:rPr>
        <w:t>5</w:t>
      </w:r>
    </w:p>
    <w:p w:rsidR="00034736" w:rsidRPr="00FE09CB" w:rsidRDefault="00034736" w:rsidP="00FE09CB">
      <w:pPr>
        <w:spacing w:after="0" w:line="360" w:lineRule="auto"/>
        <w:ind w:firstLine="709"/>
        <w:jc w:val="center"/>
        <w:rPr>
          <w:rFonts w:ascii="Times New Roman" w:hAnsi="Times New Roman" w:cs="Times New Roman"/>
          <w:b/>
          <w:bCs/>
          <w:sz w:val="24"/>
          <w:szCs w:val="24"/>
        </w:rPr>
      </w:pPr>
      <w:r w:rsidRPr="00FE09CB">
        <w:rPr>
          <w:rFonts w:ascii="Times New Roman" w:hAnsi="Times New Roman" w:cs="Times New Roman"/>
          <w:b/>
          <w:bCs/>
          <w:sz w:val="24"/>
          <w:szCs w:val="24"/>
        </w:rPr>
        <w:t>Динамика показателей местного иммунитета полости рта обследуемых</w:t>
      </w:r>
    </w:p>
    <w:tbl>
      <w:tblPr>
        <w:tblW w:w="0" w:type="auto"/>
        <w:tblLayout w:type="fixed"/>
        <w:tblLook w:val="0000" w:firstRow="0" w:lastRow="0" w:firstColumn="0" w:lastColumn="0" w:noHBand="0" w:noVBand="0"/>
      </w:tblPr>
      <w:tblGrid>
        <w:gridCol w:w="2000"/>
        <w:gridCol w:w="1736"/>
        <w:gridCol w:w="1737"/>
        <w:gridCol w:w="1736"/>
        <w:gridCol w:w="1737"/>
      </w:tblGrid>
      <w:tr w:rsidR="00034736" w:rsidRPr="003970EC">
        <w:trPr>
          <w:trHeight w:val="473"/>
        </w:trPr>
        <w:tc>
          <w:tcPr>
            <w:tcW w:w="2000" w:type="dxa"/>
            <w:vMerge w:val="restart"/>
            <w:tcBorders>
              <w:top w:val="single" w:sz="4" w:space="0" w:color="auto"/>
              <w:left w:val="single" w:sz="4" w:space="0" w:color="auto"/>
              <w:bottom w:val="nil"/>
              <w:right w:val="single" w:sz="4" w:space="0" w:color="auto"/>
            </w:tcBorders>
            <w:vAlign w:val="center"/>
          </w:tcPr>
          <w:p w:rsidR="00034736" w:rsidRPr="003970EC" w:rsidRDefault="00034736" w:rsidP="00FE09CB">
            <w:pPr>
              <w:spacing w:after="0" w:line="360" w:lineRule="auto"/>
              <w:jc w:val="both"/>
              <w:rPr>
                <w:rFonts w:ascii="Times New Roman" w:hAnsi="Times New Roman" w:cs="Times New Roman"/>
                <w:sz w:val="24"/>
                <w:szCs w:val="24"/>
              </w:rPr>
            </w:pPr>
            <w:r w:rsidRPr="003970EC">
              <w:rPr>
                <w:rFonts w:ascii="Times New Roman" w:hAnsi="Times New Roman" w:cs="Times New Roman"/>
                <w:sz w:val="24"/>
                <w:szCs w:val="24"/>
              </w:rPr>
              <w:t>показател</w:t>
            </w:r>
            <w:r w:rsidR="003970EC" w:rsidRPr="003970EC">
              <w:rPr>
                <w:rFonts w:ascii="Times New Roman" w:hAnsi="Times New Roman" w:cs="Times New Roman"/>
                <w:sz w:val="24"/>
                <w:szCs w:val="24"/>
              </w:rPr>
              <w:t>и</w:t>
            </w:r>
          </w:p>
        </w:tc>
        <w:tc>
          <w:tcPr>
            <w:tcW w:w="3473" w:type="dxa"/>
            <w:gridSpan w:val="2"/>
            <w:tcBorders>
              <w:top w:val="single" w:sz="4" w:space="0" w:color="auto"/>
              <w:left w:val="nil"/>
              <w:bottom w:val="single" w:sz="4" w:space="0" w:color="auto"/>
              <w:right w:val="single" w:sz="4" w:space="0" w:color="auto"/>
            </w:tcBorders>
            <w:vAlign w:val="center"/>
          </w:tcPr>
          <w:p w:rsidR="00034736" w:rsidRPr="003970EC" w:rsidRDefault="00034736" w:rsidP="00FE09CB">
            <w:pPr>
              <w:spacing w:after="0" w:line="360" w:lineRule="auto"/>
              <w:ind w:firstLine="160"/>
              <w:jc w:val="both"/>
              <w:rPr>
                <w:rFonts w:ascii="Times New Roman" w:hAnsi="Times New Roman" w:cs="Times New Roman"/>
                <w:sz w:val="24"/>
                <w:szCs w:val="24"/>
              </w:rPr>
            </w:pPr>
            <w:r w:rsidRPr="003970EC">
              <w:rPr>
                <w:rFonts w:ascii="Times New Roman" w:hAnsi="Times New Roman" w:cs="Times New Roman"/>
                <w:sz w:val="24"/>
                <w:szCs w:val="24"/>
              </w:rPr>
              <w:t>Основная группа</w:t>
            </w:r>
            <w:r w:rsidR="00FE09CB">
              <w:rPr>
                <w:rFonts w:ascii="Times New Roman" w:hAnsi="Times New Roman" w:cs="Times New Roman"/>
                <w:sz w:val="24"/>
                <w:szCs w:val="24"/>
              </w:rPr>
              <w:t xml:space="preserve">, </w:t>
            </w:r>
            <w:r w:rsidRPr="003970EC">
              <w:rPr>
                <w:rFonts w:ascii="Times New Roman" w:hAnsi="Times New Roman" w:cs="Times New Roman"/>
                <w:sz w:val="24"/>
                <w:szCs w:val="24"/>
              </w:rPr>
              <w:t>n = 12</w:t>
            </w:r>
          </w:p>
        </w:tc>
        <w:tc>
          <w:tcPr>
            <w:tcW w:w="3473" w:type="dxa"/>
            <w:gridSpan w:val="2"/>
            <w:tcBorders>
              <w:top w:val="single" w:sz="4" w:space="0" w:color="auto"/>
              <w:left w:val="nil"/>
              <w:bottom w:val="single" w:sz="4" w:space="0" w:color="auto"/>
              <w:right w:val="single" w:sz="4" w:space="0" w:color="auto"/>
            </w:tcBorders>
            <w:vAlign w:val="center"/>
          </w:tcPr>
          <w:p w:rsidR="00034736" w:rsidRPr="003970EC" w:rsidRDefault="00FE09CB" w:rsidP="00FE09CB">
            <w:pPr>
              <w:spacing w:after="0" w:line="360" w:lineRule="auto"/>
              <w:ind w:firstLine="467"/>
              <w:jc w:val="center"/>
              <w:rPr>
                <w:rFonts w:ascii="Times New Roman" w:hAnsi="Times New Roman" w:cs="Times New Roman"/>
                <w:sz w:val="24"/>
                <w:szCs w:val="24"/>
              </w:rPr>
            </w:pPr>
            <w:r>
              <w:rPr>
                <w:rFonts w:ascii="Times New Roman" w:hAnsi="Times New Roman" w:cs="Times New Roman"/>
                <w:sz w:val="24"/>
                <w:szCs w:val="24"/>
              </w:rPr>
              <w:t>Г</w:t>
            </w:r>
            <w:r w:rsidR="00034736" w:rsidRPr="003970EC">
              <w:rPr>
                <w:rFonts w:ascii="Times New Roman" w:hAnsi="Times New Roman" w:cs="Times New Roman"/>
                <w:sz w:val="24"/>
                <w:szCs w:val="24"/>
              </w:rPr>
              <w:t>руппа сравнения</w:t>
            </w:r>
            <w:r>
              <w:rPr>
                <w:rFonts w:ascii="Times New Roman" w:hAnsi="Times New Roman" w:cs="Times New Roman"/>
                <w:sz w:val="24"/>
                <w:szCs w:val="24"/>
              </w:rPr>
              <w:t xml:space="preserve">, </w:t>
            </w:r>
            <w:r w:rsidR="00034736" w:rsidRPr="003970EC">
              <w:rPr>
                <w:rFonts w:ascii="Times New Roman" w:hAnsi="Times New Roman" w:cs="Times New Roman"/>
                <w:sz w:val="24"/>
                <w:szCs w:val="24"/>
              </w:rPr>
              <w:t>n = 12</w:t>
            </w:r>
          </w:p>
        </w:tc>
      </w:tr>
      <w:tr w:rsidR="00034736" w:rsidRPr="003970EC">
        <w:trPr>
          <w:trHeight w:val="214"/>
        </w:trPr>
        <w:tc>
          <w:tcPr>
            <w:tcW w:w="2000" w:type="dxa"/>
            <w:vMerge/>
            <w:tcBorders>
              <w:top w:val="nil"/>
              <w:left w:val="single" w:sz="4" w:space="0" w:color="auto"/>
              <w:bottom w:val="single" w:sz="4" w:space="0" w:color="auto"/>
              <w:right w:val="single" w:sz="4" w:space="0" w:color="auto"/>
            </w:tcBorders>
            <w:vAlign w:val="center"/>
          </w:tcPr>
          <w:p w:rsidR="00034736" w:rsidRPr="003970EC" w:rsidRDefault="00034736" w:rsidP="00FE09CB">
            <w:pPr>
              <w:spacing w:after="0" w:line="360" w:lineRule="auto"/>
              <w:jc w:val="both"/>
              <w:rPr>
                <w:rFonts w:ascii="Times New Roman" w:hAnsi="Times New Roman" w:cs="Times New Roman"/>
                <w:sz w:val="24"/>
                <w:szCs w:val="24"/>
              </w:rPr>
            </w:pPr>
          </w:p>
        </w:tc>
        <w:tc>
          <w:tcPr>
            <w:tcW w:w="1736" w:type="dxa"/>
            <w:tcBorders>
              <w:top w:val="single" w:sz="4" w:space="0" w:color="auto"/>
              <w:left w:val="nil"/>
              <w:bottom w:val="single" w:sz="4" w:space="0" w:color="auto"/>
              <w:right w:val="single" w:sz="4" w:space="0" w:color="auto"/>
            </w:tcBorders>
            <w:vAlign w:val="center"/>
          </w:tcPr>
          <w:p w:rsidR="00034736" w:rsidRPr="003970EC" w:rsidRDefault="00034736" w:rsidP="00FE09CB">
            <w:pPr>
              <w:spacing w:after="0" w:line="360" w:lineRule="auto"/>
              <w:jc w:val="both"/>
              <w:rPr>
                <w:rFonts w:ascii="Times New Roman" w:hAnsi="Times New Roman" w:cs="Times New Roman"/>
                <w:sz w:val="24"/>
                <w:szCs w:val="24"/>
              </w:rPr>
            </w:pPr>
            <w:r w:rsidRPr="003970EC">
              <w:rPr>
                <w:rFonts w:ascii="Times New Roman" w:hAnsi="Times New Roman" w:cs="Times New Roman"/>
                <w:sz w:val="24"/>
                <w:szCs w:val="24"/>
              </w:rPr>
              <w:t>до лечения</w:t>
            </w:r>
          </w:p>
        </w:tc>
        <w:tc>
          <w:tcPr>
            <w:tcW w:w="1737" w:type="dxa"/>
            <w:tcBorders>
              <w:top w:val="single" w:sz="4" w:space="0" w:color="auto"/>
              <w:left w:val="nil"/>
              <w:bottom w:val="single" w:sz="4" w:space="0" w:color="auto"/>
              <w:right w:val="single" w:sz="4" w:space="0" w:color="auto"/>
            </w:tcBorders>
            <w:vAlign w:val="center"/>
          </w:tcPr>
          <w:p w:rsidR="00034736" w:rsidRPr="003970EC" w:rsidRDefault="00034736" w:rsidP="00FE09CB">
            <w:pPr>
              <w:spacing w:after="0" w:line="360" w:lineRule="auto"/>
              <w:jc w:val="both"/>
              <w:rPr>
                <w:rFonts w:ascii="Times New Roman" w:hAnsi="Times New Roman" w:cs="Times New Roman"/>
                <w:sz w:val="24"/>
                <w:szCs w:val="24"/>
              </w:rPr>
            </w:pPr>
            <w:r w:rsidRPr="003970EC">
              <w:rPr>
                <w:rFonts w:ascii="Times New Roman" w:hAnsi="Times New Roman" w:cs="Times New Roman"/>
                <w:sz w:val="24"/>
                <w:szCs w:val="24"/>
              </w:rPr>
              <w:t>после лечения</w:t>
            </w:r>
          </w:p>
        </w:tc>
        <w:tc>
          <w:tcPr>
            <w:tcW w:w="1736" w:type="dxa"/>
            <w:tcBorders>
              <w:top w:val="single" w:sz="4" w:space="0" w:color="auto"/>
              <w:left w:val="nil"/>
              <w:bottom w:val="single" w:sz="4" w:space="0" w:color="auto"/>
              <w:right w:val="single" w:sz="4" w:space="0" w:color="auto"/>
            </w:tcBorders>
            <w:vAlign w:val="center"/>
          </w:tcPr>
          <w:p w:rsidR="00034736" w:rsidRPr="003970EC" w:rsidRDefault="00034736" w:rsidP="00FE09CB">
            <w:pPr>
              <w:spacing w:after="0" w:line="360" w:lineRule="auto"/>
              <w:jc w:val="both"/>
              <w:rPr>
                <w:rFonts w:ascii="Times New Roman" w:hAnsi="Times New Roman" w:cs="Times New Roman"/>
                <w:sz w:val="24"/>
                <w:szCs w:val="24"/>
              </w:rPr>
            </w:pPr>
            <w:r w:rsidRPr="003970EC">
              <w:rPr>
                <w:rFonts w:ascii="Times New Roman" w:hAnsi="Times New Roman" w:cs="Times New Roman"/>
                <w:sz w:val="24"/>
                <w:szCs w:val="24"/>
              </w:rPr>
              <w:t>до лечения</w:t>
            </w:r>
          </w:p>
        </w:tc>
        <w:tc>
          <w:tcPr>
            <w:tcW w:w="1737" w:type="dxa"/>
            <w:tcBorders>
              <w:top w:val="single" w:sz="4" w:space="0" w:color="auto"/>
              <w:left w:val="nil"/>
              <w:bottom w:val="single" w:sz="4" w:space="0" w:color="auto"/>
              <w:right w:val="single" w:sz="4" w:space="0" w:color="auto"/>
            </w:tcBorders>
            <w:vAlign w:val="center"/>
          </w:tcPr>
          <w:p w:rsidR="00034736" w:rsidRPr="003970EC" w:rsidRDefault="00034736" w:rsidP="00FE09CB">
            <w:pPr>
              <w:spacing w:after="0" w:line="360" w:lineRule="auto"/>
              <w:jc w:val="both"/>
              <w:rPr>
                <w:rFonts w:ascii="Times New Roman" w:hAnsi="Times New Roman" w:cs="Times New Roman"/>
                <w:sz w:val="24"/>
                <w:szCs w:val="24"/>
              </w:rPr>
            </w:pPr>
            <w:r w:rsidRPr="003970EC">
              <w:rPr>
                <w:rFonts w:ascii="Times New Roman" w:hAnsi="Times New Roman" w:cs="Times New Roman"/>
                <w:sz w:val="24"/>
                <w:szCs w:val="24"/>
              </w:rPr>
              <w:t>после лечения</w:t>
            </w:r>
          </w:p>
        </w:tc>
      </w:tr>
      <w:tr w:rsidR="00034736" w:rsidRPr="003970EC">
        <w:trPr>
          <w:trHeight w:val="227"/>
        </w:trPr>
        <w:tc>
          <w:tcPr>
            <w:tcW w:w="2000" w:type="dxa"/>
            <w:tcBorders>
              <w:top w:val="nil"/>
              <w:left w:val="single" w:sz="4" w:space="0" w:color="auto"/>
              <w:bottom w:val="single" w:sz="4" w:space="0" w:color="auto"/>
              <w:right w:val="single" w:sz="4" w:space="0" w:color="auto"/>
            </w:tcBorders>
            <w:vAlign w:val="center"/>
          </w:tcPr>
          <w:p w:rsidR="00034736" w:rsidRPr="003970EC" w:rsidRDefault="00034736" w:rsidP="00FE09CB">
            <w:pPr>
              <w:spacing w:after="0" w:line="360" w:lineRule="auto"/>
              <w:jc w:val="both"/>
              <w:rPr>
                <w:rFonts w:ascii="Times New Roman" w:hAnsi="Times New Roman" w:cs="Times New Roman"/>
                <w:sz w:val="24"/>
                <w:szCs w:val="24"/>
              </w:rPr>
            </w:pPr>
            <w:r w:rsidRPr="003970EC">
              <w:rPr>
                <w:rFonts w:ascii="Times New Roman" w:hAnsi="Times New Roman" w:cs="Times New Roman"/>
                <w:sz w:val="24"/>
                <w:szCs w:val="24"/>
              </w:rPr>
              <w:t>IL-4 пг/мл  норма -27,95</w:t>
            </w:r>
          </w:p>
        </w:tc>
        <w:tc>
          <w:tcPr>
            <w:tcW w:w="1736" w:type="dxa"/>
            <w:tcBorders>
              <w:top w:val="nil"/>
              <w:left w:val="nil"/>
              <w:bottom w:val="single" w:sz="4" w:space="0" w:color="auto"/>
              <w:right w:val="single" w:sz="4" w:space="0" w:color="auto"/>
            </w:tcBorders>
            <w:vAlign w:val="center"/>
          </w:tcPr>
          <w:p w:rsidR="00034736" w:rsidRPr="003970EC" w:rsidRDefault="00034736" w:rsidP="00FE09CB">
            <w:pPr>
              <w:spacing w:after="0" w:line="360" w:lineRule="auto"/>
              <w:jc w:val="both"/>
              <w:rPr>
                <w:rFonts w:ascii="Times New Roman" w:hAnsi="Times New Roman" w:cs="Times New Roman"/>
                <w:sz w:val="24"/>
                <w:szCs w:val="24"/>
              </w:rPr>
            </w:pPr>
            <w:r w:rsidRPr="003970EC">
              <w:rPr>
                <w:rFonts w:ascii="Times New Roman" w:hAnsi="Times New Roman" w:cs="Times New Roman"/>
                <w:sz w:val="24"/>
                <w:szCs w:val="24"/>
              </w:rPr>
              <w:t>42,37±2,39</w:t>
            </w:r>
          </w:p>
        </w:tc>
        <w:tc>
          <w:tcPr>
            <w:tcW w:w="1737" w:type="dxa"/>
            <w:tcBorders>
              <w:top w:val="nil"/>
              <w:left w:val="nil"/>
              <w:bottom w:val="single" w:sz="4" w:space="0" w:color="auto"/>
              <w:right w:val="single" w:sz="4" w:space="0" w:color="auto"/>
            </w:tcBorders>
            <w:vAlign w:val="center"/>
          </w:tcPr>
          <w:p w:rsidR="00034736" w:rsidRPr="003970EC" w:rsidRDefault="00034736" w:rsidP="00FE09CB">
            <w:pPr>
              <w:spacing w:after="0" w:line="360" w:lineRule="auto"/>
              <w:jc w:val="both"/>
              <w:rPr>
                <w:rFonts w:ascii="Times New Roman" w:hAnsi="Times New Roman" w:cs="Times New Roman"/>
                <w:sz w:val="24"/>
                <w:szCs w:val="24"/>
              </w:rPr>
            </w:pPr>
            <w:r w:rsidRPr="003970EC">
              <w:rPr>
                <w:rFonts w:ascii="Times New Roman" w:hAnsi="Times New Roman" w:cs="Times New Roman"/>
                <w:sz w:val="24"/>
                <w:szCs w:val="24"/>
              </w:rPr>
              <w:t>28,11±0,74**</w:t>
            </w:r>
          </w:p>
        </w:tc>
        <w:tc>
          <w:tcPr>
            <w:tcW w:w="1736" w:type="dxa"/>
            <w:tcBorders>
              <w:top w:val="nil"/>
              <w:left w:val="nil"/>
              <w:bottom w:val="single" w:sz="4" w:space="0" w:color="auto"/>
              <w:right w:val="single" w:sz="4" w:space="0" w:color="auto"/>
            </w:tcBorders>
            <w:vAlign w:val="center"/>
          </w:tcPr>
          <w:p w:rsidR="00034736" w:rsidRPr="003970EC" w:rsidRDefault="00034736" w:rsidP="00FE09CB">
            <w:pPr>
              <w:spacing w:after="0" w:line="360" w:lineRule="auto"/>
              <w:jc w:val="both"/>
              <w:rPr>
                <w:rFonts w:ascii="Times New Roman" w:hAnsi="Times New Roman" w:cs="Times New Roman"/>
                <w:sz w:val="24"/>
                <w:szCs w:val="24"/>
              </w:rPr>
            </w:pPr>
            <w:r w:rsidRPr="003970EC">
              <w:rPr>
                <w:rFonts w:ascii="Times New Roman" w:hAnsi="Times New Roman" w:cs="Times New Roman"/>
                <w:sz w:val="24"/>
                <w:szCs w:val="24"/>
              </w:rPr>
              <w:t>44,39±1,46</w:t>
            </w:r>
          </w:p>
        </w:tc>
        <w:tc>
          <w:tcPr>
            <w:tcW w:w="1737" w:type="dxa"/>
            <w:tcBorders>
              <w:top w:val="nil"/>
              <w:left w:val="nil"/>
              <w:bottom w:val="single" w:sz="4" w:space="0" w:color="auto"/>
              <w:right w:val="single" w:sz="4" w:space="0" w:color="auto"/>
            </w:tcBorders>
            <w:vAlign w:val="center"/>
          </w:tcPr>
          <w:p w:rsidR="00034736" w:rsidRPr="003970EC" w:rsidRDefault="00034736" w:rsidP="00FE09CB">
            <w:pPr>
              <w:spacing w:after="0" w:line="360" w:lineRule="auto"/>
              <w:jc w:val="both"/>
              <w:rPr>
                <w:rFonts w:ascii="Times New Roman" w:hAnsi="Times New Roman" w:cs="Times New Roman"/>
                <w:sz w:val="24"/>
                <w:szCs w:val="24"/>
              </w:rPr>
            </w:pPr>
            <w:r w:rsidRPr="003970EC">
              <w:rPr>
                <w:rFonts w:ascii="Times New Roman" w:hAnsi="Times New Roman" w:cs="Times New Roman"/>
                <w:sz w:val="24"/>
                <w:szCs w:val="24"/>
              </w:rPr>
              <w:t>37,73±1,76*</w:t>
            </w:r>
          </w:p>
        </w:tc>
      </w:tr>
      <w:tr w:rsidR="00034736" w:rsidRPr="003970EC">
        <w:trPr>
          <w:trHeight w:val="227"/>
        </w:trPr>
        <w:tc>
          <w:tcPr>
            <w:tcW w:w="2000" w:type="dxa"/>
            <w:tcBorders>
              <w:top w:val="nil"/>
              <w:left w:val="single" w:sz="4" w:space="0" w:color="auto"/>
              <w:bottom w:val="single" w:sz="4" w:space="0" w:color="auto"/>
              <w:right w:val="single" w:sz="4" w:space="0" w:color="auto"/>
            </w:tcBorders>
            <w:vAlign w:val="center"/>
          </w:tcPr>
          <w:p w:rsidR="00034736" w:rsidRPr="003970EC" w:rsidRDefault="00034736" w:rsidP="00FE09CB">
            <w:pPr>
              <w:spacing w:after="0" w:line="360" w:lineRule="auto"/>
              <w:jc w:val="both"/>
              <w:rPr>
                <w:rFonts w:ascii="Times New Roman" w:hAnsi="Times New Roman" w:cs="Times New Roman"/>
                <w:sz w:val="24"/>
                <w:szCs w:val="24"/>
              </w:rPr>
            </w:pPr>
            <w:r w:rsidRPr="003970EC">
              <w:rPr>
                <w:rFonts w:ascii="Times New Roman" w:hAnsi="Times New Roman" w:cs="Times New Roman"/>
                <w:sz w:val="24"/>
                <w:szCs w:val="24"/>
              </w:rPr>
              <w:t xml:space="preserve">IL-8 пг/мл </w:t>
            </w:r>
            <w:r w:rsidRPr="003970EC">
              <w:rPr>
                <w:rFonts w:ascii="Times New Roman" w:hAnsi="Times New Roman" w:cs="Times New Roman"/>
                <w:sz w:val="24"/>
                <w:szCs w:val="24"/>
              </w:rPr>
              <w:lastRenderedPageBreak/>
              <w:t>норма- 34,89</w:t>
            </w:r>
          </w:p>
        </w:tc>
        <w:tc>
          <w:tcPr>
            <w:tcW w:w="1736" w:type="dxa"/>
            <w:tcBorders>
              <w:top w:val="nil"/>
              <w:left w:val="nil"/>
              <w:bottom w:val="single" w:sz="4" w:space="0" w:color="auto"/>
              <w:right w:val="single" w:sz="4" w:space="0" w:color="auto"/>
            </w:tcBorders>
            <w:vAlign w:val="center"/>
          </w:tcPr>
          <w:p w:rsidR="00034736" w:rsidRPr="003970EC" w:rsidRDefault="00034736" w:rsidP="00FE09CB">
            <w:pPr>
              <w:spacing w:after="0" w:line="360" w:lineRule="auto"/>
              <w:jc w:val="both"/>
              <w:rPr>
                <w:rFonts w:ascii="Times New Roman" w:hAnsi="Times New Roman" w:cs="Times New Roman"/>
                <w:sz w:val="24"/>
                <w:szCs w:val="24"/>
              </w:rPr>
            </w:pPr>
            <w:r w:rsidRPr="003970EC">
              <w:rPr>
                <w:rFonts w:ascii="Times New Roman" w:hAnsi="Times New Roman" w:cs="Times New Roman"/>
                <w:sz w:val="24"/>
                <w:szCs w:val="24"/>
              </w:rPr>
              <w:lastRenderedPageBreak/>
              <w:t>55,15±3,79</w:t>
            </w:r>
          </w:p>
        </w:tc>
        <w:tc>
          <w:tcPr>
            <w:tcW w:w="1737" w:type="dxa"/>
            <w:tcBorders>
              <w:top w:val="nil"/>
              <w:left w:val="nil"/>
              <w:bottom w:val="single" w:sz="4" w:space="0" w:color="auto"/>
              <w:right w:val="single" w:sz="4" w:space="0" w:color="auto"/>
            </w:tcBorders>
            <w:vAlign w:val="center"/>
          </w:tcPr>
          <w:p w:rsidR="00034736" w:rsidRPr="003970EC" w:rsidRDefault="00034736" w:rsidP="00FE09CB">
            <w:pPr>
              <w:spacing w:after="0" w:line="360" w:lineRule="auto"/>
              <w:jc w:val="both"/>
              <w:rPr>
                <w:rFonts w:ascii="Times New Roman" w:hAnsi="Times New Roman" w:cs="Times New Roman"/>
                <w:sz w:val="24"/>
                <w:szCs w:val="24"/>
              </w:rPr>
            </w:pPr>
            <w:r w:rsidRPr="003970EC">
              <w:rPr>
                <w:rFonts w:ascii="Times New Roman" w:hAnsi="Times New Roman" w:cs="Times New Roman"/>
                <w:sz w:val="24"/>
                <w:szCs w:val="24"/>
              </w:rPr>
              <w:t>41,19±2,31*</w:t>
            </w:r>
          </w:p>
        </w:tc>
        <w:tc>
          <w:tcPr>
            <w:tcW w:w="1736" w:type="dxa"/>
            <w:tcBorders>
              <w:top w:val="nil"/>
              <w:left w:val="nil"/>
              <w:bottom w:val="single" w:sz="4" w:space="0" w:color="auto"/>
              <w:right w:val="single" w:sz="4" w:space="0" w:color="auto"/>
            </w:tcBorders>
            <w:vAlign w:val="center"/>
          </w:tcPr>
          <w:p w:rsidR="00034736" w:rsidRPr="003970EC" w:rsidRDefault="00034736" w:rsidP="00FE09CB">
            <w:pPr>
              <w:spacing w:after="0" w:line="360" w:lineRule="auto"/>
              <w:jc w:val="both"/>
              <w:rPr>
                <w:rFonts w:ascii="Times New Roman" w:hAnsi="Times New Roman" w:cs="Times New Roman"/>
                <w:sz w:val="24"/>
                <w:szCs w:val="24"/>
              </w:rPr>
            </w:pPr>
            <w:r w:rsidRPr="003970EC">
              <w:rPr>
                <w:rFonts w:ascii="Times New Roman" w:hAnsi="Times New Roman" w:cs="Times New Roman"/>
                <w:sz w:val="24"/>
                <w:szCs w:val="24"/>
              </w:rPr>
              <w:t>45,13±1,90**</w:t>
            </w:r>
          </w:p>
        </w:tc>
        <w:tc>
          <w:tcPr>
            <w:tcW w:w="1737" w:type="dxa"/>
            <w:tcBorders>
              <w:top w:val="nil"/>
              <w:left w:val="nil"/>
              <w:bottom w:val="single" w:sz="4" w:space="0" w:color="auto"/>
              <w:right w:val="single" w:sz="4" w:space="0" w:color="auto"/>
            </w:tcBorders>
            <w:vAlign w:val="center"/>
          </w:tcPr>
          <w:p w:rsidR="00034736" w:rsidRPr="003970EC" w:rsidRDefault="00034736" w:rsidP="00FE09CB">
            <w:pPr>
              <w:spacing w:after="0" w:line="360" w:lineRule="auto"/>
              <w:jc w:val="both"/>
              <w:rPr>
                <w:rFonts w:ascii="Times New Roman" w:hAnsi="Times New Roman" w:cs="Times New Roman"/>
                <w:sz w:val="24"/>
                <w:szCs w:val="24"/>
              </w:rPr>
            </w:pPr>
            <w:r w:rsidRPr="003970EC">
              <w:rPr>
                <w:rFonts w:ascii="Times New Roman" w:hAnsi="Times New Roman" w:cs="Times New Roman"/>
                <w:sz w:val="24"/>
                <w:szCs w:val="24"/>
              </w:rPr>
              <w:t>41,22±1,50</w:t>
            </w:r>
          </w:p>
        </w:tc>
      </w:tr>
      <w:tr w:rsidR="00034736" w:rsidRPr="003970EC">
        <w:trPr>
          <w:trHeight w:val="227"/>
        </w:trPr>
        <w:tc>
          <w:tcPr>
            <w:tcW w:w="2000" w:type="dxa"/>
            <w:tcBorders>
              <w:top w:val="nil"/>
              <w:left w:val="single" w:sz="4" w:space="0" w:color="auto"/>
              <w:bottom w:val="single" w:sz="4" w:space="0" w:color="auto"/>
              <w:right w:val="single" w:sz="4" w:space="0" w:color="auto"/>
            </w:tcBorders>
            <w:vAlign w:val="center"/>
          </w:tcPr>
          <w:p w:rsidR="00034736" w:rsidRPr="003970EC" w:rsidRDefault="00034736" w:rsidP="00FE09CB">
            <w:pPr>
              <w:spacing w:after="0" w:line="360" w:lineRule="auto"/>
              <w:jc w:val="both"/>
              <w:rPr>
                <w:rFonts w:ascii="Times New Roman" w:hAnsi="Times New Roman" w:cs="Times New Roman"/>
                <w:sz w:val="24"/>
                <w:szCs w:val="24"/>
              </w:rPr>
            </w:pPr>
            <w:r w:rsidRPr="003970EC">
              <w:rPr>
                <w:rFonts w:ascii="Times New Roman" w:hAnsi="Times New Roman" w:cs="Times New Roman"/>
                <w:sz w:val="24"/>
                <w:szCs w:val="24"/>
              </w:rPr>
              <w:t>SIg A г/л</w:t>
            </w:r>
          </w:p>
        </w:tc>
        <w:tc>
          <w:tcPr>
            <w:tcW w:w="1736" w:type="dxa"/>
            <w:tcBorders>
              <w:top w:val="nil"/>
              <w:left w:val="nil"/>
              <w:bottom w:val="single" w:sz="4" w:space="0" w:color="auto"/>
              <w:right w:val="single" w:sz="4" w:space="0" w:color="auto"/>
            </w:tcBorders>
            <w:vAlign w:val="center"/>
          </w:tcPr>
          <w:p w:rsidR="00034736" w:rsidRPr="003970EC" w:rsidRDefault="00034736" w:rsidP="00FE09CB">
            <w:pPr>
              <w:spacing w:after="0" w:line="360" w:lineRule="auto"/>
              <w:jc w:val="both"/>
              <w:rPr>
                <w:rFonts w:ascii="Times New Roman" w:hAnsi="Times New Roman" w:cs="Times New Roman"/>
                <w:sz w:val="24"/>
                <w:szCs w:val="24"/>
              </w:rPr>
            </w:pPr>
            <w:r w:rsidRPr="003970EC">
              <w:rPr>
                <w:rFonts w:ascii="Times New Roman" w:hAnsi="Times New Roman" w:cs="Times New Roman"/>
                <w:sz w:val="24"/>
                <w:szCs w:val="24"/>
              </w:rPr>
              <w:t>0,41±0,030</w:t>
            </w:r>
          </w:p>
        </w:tc>
        <w:tc>
          <w:tcPr>
            <w:tcW w:w="1737" w:type="dxa"/>
            <w:tcBorders>
              <w:top w:val="nil"/>
              <w:left w:val="nil"/>
              <w:bottom w:val="single" w:sz="4" w:space="0" w:color="auto"/>
              <w:right w:val="single" w:sz="4" w:space="0" w:color="auto"/>
            </w:tcBorders>
            <w:vAlign w:val="center"/>
          </w:tcPr>
          <w:p w:rsidR="00034736" w:rsidRPr="003970EC" w:rsidRDefault="00034736" w:rsidP="00FE09CB">
            <w:pPr>
              <w:spacing w:after="0" w:line="360" w:lineRule="auto"/>
              <w:jc w:val="both"/>
              <w:rPr>
                <w:rFonts w:ascii="Times New Roman" w:hAnsi="Times New Roman" w:cs="Times New Roman"/>
                <w:sz w:val="24"/>
                <w:szCs w:val="24"/>
              </w:rPr>
            </w:pPr>
            <w:r w:rsidRPr="003970EC">
              <w:rPr>
                <w:rFonts w:ascii="Times New Roman" w:hAnsi="Times New Roman" w:cs="Times New Roman"/>
                <w:sz w:val="24"/>
                <w:szCs w:val="24"/>
              </w:rPr>
              <w:t>0,67±0,040**</w:t>
            </w:r>
          </w:p>
        </w:tc>
        <w:tc>
          <w:tcPr>
            <w:tcW w:w="1736" w:type="dxa"/>
            <w:tcBorders>
              <w:top w:val="nil"/>
              <w:left w:val="nil"/>
              <w:bottom w:val="single" w:sz="4" w:space="0" w:color="auto"/>
              <w:right w:val="single" w:sz="4" w:space="0" w:color="auto"/>
            </w:tcBorders>
            <w:vAlign w:val="center"/>
          </w:tcPr>
          <w:p w:rsidR="00034736" w:rsidRPr="003970EC" w:rsidRDefault="00034736" w:rsidP="00FE09CB">
            <w:pPr>
              <w:spacing w:after="0" w:line="360" w:lineRule="auto"/>
              <w:jc w:val="both"/>
              <w:rPr>
                <w:rFonts w:ascii="Times New Roman" w:hAnsi="Times New Roman" w:cs="Times New Roman"/>
                <w:sz w:val="24"/>
                <w:szCs w:val="24"/>
              </w:rPr>
            </w:pPr>
            <w:r w:rsidRPr="003970EC">
              <w:rPr>
                <w:rFonts w:ascii="Times New Roman" w:hAnsi="Times New Roman" w:cs="Times New Roman"/>
                <w:sz w:val="24"/>
                <w:szCs w:val="24"/>
              </w:rPr>
              <w:t>0,42±0,055</w:t>
            </w:r>
          </w:p>
        </w:tc>
        <w:tc>
          <w:tcPr>
            <w:tcW w:w="1737" w:type="dxa"/>
            <w:tcBorders>
              <w:top w:val="nil"/>
              <w:left w:val="nil"/>
              <w:bottom w:val="single" w:sz="4" w:space="0" w:color="auto"/>
              <w:right w:val="single" w:sz="4" w:space="0" w:color="auto"/>
            </w:tcBorders>
            <w:vAlign w:val="center"/>
          </w:tcPr>
          <w:p w:rsidR="00034736" w:rsidRPr="003970EC" w:rsidRDefault="00034736" w:rsidP="00FE09CB">
            <w:pPr>
              <w:spacing w:after="0" w:line="360" w:lineRule="auto"/>
              <w:jc w:val="both"/>
              <w:rPr>
                <w:rFonts w:ascii="Times New Roman" w:hAnsi="Times New Roman" w:cs="Times New Roman"/>
                <w:sz w:val="24"/>
                <w:szCs w:val="24"/>
              </w:rPr>
            </w:pPr>
            <w:r w:rsidRPr="003970EC">
              <w:rPr>
                <w:rFonts w:ascii="Times New Roman" w:hAnsi="Times New Roman" w:cs="Times New Roman"/>
                <w:sz w:val="24"/>
                <w:szCs w:val="24"/>
              </w:rPr>
              <w:t>0,54±0,052</w:t>
            </w:r>
          </w:p>
        </w:tc>
      </w:tr>
      <w:tr w:rsidR="00034736" w:rsidRPr="003970EC">
        <w:trPr>
          <w:trHeight w:val="227"/>
        </w:trPr>
        <w:tc>
          <w:tcPr>
            <w:tcW w:w="2000" w:type="dxa"/>
            <w:tcBorders>
              <w:top w:val="nil"/>
              <w:left w:val="single" w:sz="4" w:space="0" w:color="auto"/>
              <w:bottom w:val="single" w:sz="4" w:space="0" w:color="auto"/>
              <w:right w:val="single" w:sz="4" w:space="0" w:color="auto"/>
            </w:tcBorders>
            <w:vAlign w:val="center"/>
          </w:tcPr>
          <w:p w:rsidR="00034736" w:rsidRPr="003970EC" w:rsidRDefault="00034736" w:rsidP="00FE09CB">
            <w:pPr>
              <w:spacing w:after="0" w:line="360" w:lineRule="auto"/>
              <w:jc w:val="both"/>
              <w:rPr>
                <w:rFonts w:ascii="Times New Roman" w:hAnsi="Times New Roman" w:cs="Times New Roman"/>
                <w:sz w:val="24"/>
                <w:szCs w:val="24"/>
              </w:rPr>
            </w:pPr>
            <w:r w:rsidRPr="003970EC">
              <w:rPr>
                <w:rFonts w:ascii="Times New Roman" w:hAnsi="Times New Roman" w:cs="Times New Roman"/>
                <w:sz w:val="24"/>
                <w:szCs w:val="24"/>
              </w:rPr>
              <w:t>Ли</w:t>
            </w:r>
            <w:r w:rsidR="003970EC" w:rsidRPr="003970EC">
              <w:rPr>
                <w:rFonts w:ascii="Times New Roman" w:hAnsi="Times New Roman" w:cs="Times New Roman"/>
                <w:sz w:val="24"/>
                <w:szCs w:val="24"/>
              </w:rPr>
              <w:t xml:space="preserve">зоцим, </w:t>
            </w:r>
            <w:r w:rsidRPr="003970EC">
              <w:rPr>
                <w:rFonts w:ascii="Times New Roman" w:hAnsi="Times New Roman" w:cs="Times New Roman"/>
                <w:sz w:val="24"/>
                <w:szCs w:val="24"/>
              </w:rPr>
              <w:t>мкг/мл</w:t>
            </w:r>
          </w:p>
        </w:tc>
        <w:tc>
          <w:tcPr>
            <w:tcW w:w="1736" w:type="dxa"/>
            <w:tcBorders>
              <w:top w:val="nil"/>
              <w:left w:val="nil"/>
              <w:bottom w:val="single" w:sz="4" w:space="0" w:color="auto"/>
              <w:right w:val="single" w:sz="4" w:space="0" w:color="auto"/>
            </w:tcBorders>
            <w:vAlign w:val="center"/>
          </w:tcPr>
          <w:p w:rsidR="00034736" w:rsidRPr="003970EC" w:rsidRDefault="00034736" w:rsidP="00FE09CB">
            <w:pPr>
              <w:spacing w:after="0" w:line="360" w:lineRule="auto"/>
              <w:jc w:val="both"/>
              <w:rPr>
                <w:rFonts w:ascii="Times New Roman" w:hAnsi="Times New Roman" w:cs="Times New Roman"/>
                <w:sz w:val="24"/>
                <w:szCs w:val="24"/>
              </w:rPr>
            </w:pPr>
            <w:r w:rsidRPr="003970EC">
              <w:rPr>
                <w:rFonts w:ascii="Times New Roman" w:hAnsi="Times New Roman" w:cs="Times New Roman"/>
                <w:sz w:val="24"/>
                <w:szCs w:val="24"/>
              </w:rPr>
              <w:t>225,49±10,95</w:t>
            </w:r>
          </w:p>
        </w:tc>
        <w:tc>
          <w:tcPr>
            <w:tcW w:w="1737" w:type="dxa"/>
            <w:tcBorders>
              <w:top w:val="nil"/>
              <w:left w:val="nil"/>
              <w:bottom w:val="single" w:sz="4" w:space="0" w:color="auto"/>
              <w:right w:val="single" w:sz="4" w:space="0" w:color="auto"/>
            </w:tcBorders>
            <w:vAlign w:val="center"/>
          </w:tcPr>
          <w:p w:rsidR="00034736" w:rsidRPr="003970EC" w:rsidRDefault="00034736" w:rsidP="00FE09CB">
            <w:pPr>
              <w:spacing w:after="0" w:line="360" w:lineRule="auto"/>
              <w:jc w:val="both"/>
              <w:rPr>
                <w:rFonts w:ascii="Times New Roman" w:hAnsi="Times New Roman" w:cs="Times New Roman"/>
                <w:sz w:val="24"/>
                <w:szCs w:val="24"/>
              </w:rPr>
            </w:pPr>
            <w:r w:rsidRPr="003970EC">
              <w:rPr>
                <w:rFonts w:ascii="Times New Roman" w:hAnsi="Times New Roman" w:cs="Times New Roman"/>
                <w:sz w:val="24"/>
                <w:szCs w:val="24"/>
              </w:rPr>
              <w:t>252,17±11,28</w:t>
            </w:r>
          </w:p>
        </w:tc>
        <w:tc>
          <w:tcPr>
            <w:tcW w:w="1736" w:type="dxa"/>
            <w:tcBorders>
              <w:top w:val="nil"/>
              <w:left w:val="nil"/>
              <w:bottom w:val="single" w:sz="4" w:space="0" w:color="auto"/>
              <w:right w:val="single" w:sz="4" w:space="0" w:color="auto"/>
            </w:tcBorders>
            <w:vAlign w:val="center"/>
          </w:tcPr>
          <w:p w:rsidR="00034736" w:rsidRPr="003970EC" w:rsidRDefault="00034736" w:rsidP="00FE09CB">
            <w:pPr>
              <w:spacing w:after="0" w:line="360" w:lineRule="auto"/>
              <w:jc w:val="both"/>
              <w:rPr>
                <w:rFonts w:ascii="Times New Roman" w:hAnsi="Times New Roman" w:cs="Times New Roman"/>
                <w:sz w:val="24"/>
                <w:szCs w:val="24"/>
              </w:rPr>
            </w:pPr>
            <w:r w:rsidRPr="003970EC">
              <w:rPr>
                <w:rFonts w:ascii="Times New Roman" w:hAnsi="Times New Roman" w:cs="Times New Roman"/>
                <w:sz w:val="24"/>
                <w:szCs w:val="24"/>
              </w:rPr>
              <w:t>195,0±10,59</w:t>
            </w:r>
          </w:p>
        </w:tc>
        <w:tc>
          <w:tcPr>
            <w:tcW w:w="1737" w:type="dxa"/>
            <w:tcBorders>
              <w:top w:val="nil"/>
              <w:left w:val="nil"/>
              <w:bottom w:val="single" w:sz="4" w:space="0" w:color="auto"/>
              <w:right w:val="single" w:sz="4" w:space="0" w:color="auto"/>
            </w:tcBorders>
            <w:vAlign w:val="center"/>
          </w:tcPr>
          <w:p w:rsidR="00034736" w:rsidRPr="003970EC" w:rsidRDefault="00034736" w:rsidP="00FE09CB">
            <w:pPr>
              <w:spacing w:after="0" w:line="360" w:lineRule="auto"/>
              <w:jc w:val="both"/>
              <w:rPr>
                <w:rFonts w:ascii="Times New Roman" w:hAnsi="Times New Roman" w:cs="Times New Roman"/>
                <w:sz w:val="24"/>
                <w:szCs w:val="24"/>
              </w:rPr>
            </w:pPr>
            <w:r w:rsidRPr="003970EC">
              <w:rPr>
                <w:rFonts w:ascii="Times New Roman" w:hAnsi="Times New Roman" w:cs="Times New Roman"/>
                <w:sz w:val="24"/>
                <w:szCs w:val="24"/>
              </w:rPr>
              <w:t>205,5±11,05</w:t>
            </w:r>
          </w:p>
        </w:tc>
      </w:tr>
    </w:tbl>
    <w:p w:rsidR="00034736" w:rsidRPr="003970EC" w:rsidRDefault="00034736" w:rsidP="00673E12">
      <w:pPr>
        <w:spacing w:after="0" w:line="360" w:lineRule="auto"/>
        <w:ind w:firstLine="709"/>
        <w:jc w:val="both"/>
        <w:rPr>
          <w:rFonts w:ascii="Times New Roman" w:hAnsi="Times New Roman" w:cs="Times New Roman"/>
          <w:sz w:val="24"/>
          <w:szCs w:val="24"/>
        </w:rPr>
      </w:pPr>
    </w:p>
    <w:p w:rsidR="009444D8" w:rsidRDefault="00034736" w:rsidP="00673E12">
      <w:pPr>
        <w:spacing w:after="0" w:line="360" w:lineRule="auto"/>
        <w:ind w:firstLine="709"/>
        <w:jc w:val="both"/>
        <w:rPr>
          <w:rFonts w:ascii="Times New Roman" w:hAnsi="Times New Roman" w:cs="Times New Roman"/>
          <w:sz w:val="24"/>
          <w:szCs w:val="24"/>
        </w:rPr>
      </w:pPr>
      <w:r w:rsidRPr="003970EC">
        <w:rPr>
          <w:rFonts w:ascii="Times New Roman" w:hAnsi="Times New Roman" w:cs="Times New Roman"/>
          <w:sz w:val="24"/>
          <w:szCs w:val="24"/>
        </w:rPr>
        <w:t>В основной группе определено достоверное снижение и нормализация величины цитокинов, увеличение концентрации sIgA до 0,67±0,04 и повышение уровня лизоцима (р&lt;0,05). В группе сравнения после проведенного лечения гингивита динамика показателей характеризовалась достоверным снижением провоспалительного цитокина IL-8 , а также незначимыми изменениями других факторов местного иммунитета (р&gt;0,05)</w:t>
      </w:r>
      <w:r w:rsidR="00FE09CB">
        <w:rPr>
          <w:rFonts w:ascii="Times New Roman" w:hAnsi="Times New Roman" w:cs="Times New Roman"/>
          <w:sz w:val="24"/>
          <w:szCs w:val="24"/>
        </w:rPr>
        <w:t xml:space="preserve"> (т</w:t>
      </w:r>
      <w:r w:rsidR="00107120" w:rsidRPr="003970EC">
        <w:rPr>
          <w:rFonts w:ascii="Times New Roman" w:hAnsi="Times New Roman" w:cs="Times New Roman"/>
          <w:sz w:val="24"/>
          <w:szCs w:val="24"/>
        </w:rPr>
        <w:t>абл. 5</w:t>
      </w:r>
      <w:r w:rsidRPr="003970EC">
        <w:rPr>
          <w:rFonts w:ascii="Times New Roman" w:hAnsi="Times New Roman" w:cs="Times New Roman"/>
          <w:sz w:val="24"/>
          <w:szCs w:val="24"/>
        </w:rPr>
        <w:t xml:space="preserve">). </w:t>
      </w:r>
    </w:p>
    <w:p w:rsidR="00034736" w:rsidRPr="009444D8" w:rsidRDefault="009444D8" w:rsidP="00362E43">
      <w:pPr>
        <w:spacing w:after="0" w:line="360" w:lineRule="auto"/>
        <w:ind w:firstLine="709"/>
        <w:rPr>
          <w:rFonts w:ascii="Times New Roman" w:hAnsi="Times New Roman" w:cs="Times New Roman"/>
          <w:b/>
          <w:bCs/>
          <w:sz w:val="24"/>
          <w:szCs w:val="24"/>
        </w:rPr>
      </w:pPr>
      <w:r w:rsidRPr="009444D8">
        <w:rPr>
          <w:rFonts w:ascii="Times New Roman" w:hAnsi="Times New Roman" w:cs="Times New Roman"/>
          <w:b/>
          <w:bCs/>
          <w:sz w:val="24"/>
          <w:szCs w:val="24"/>
        </w:rPr>
        <w:t>Выводы</w:t>
      </w:r>
    </w:p>
    <w:p w:rsidR="00034736" w:rsidRPr="003970EC" w:rsidRDefault="00A556C2" w:rsidP="00673E1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результате проведенных исследований получены данные</w:t>
      </w:r>
      <w:r w:rsidR="00034736" w:rsidRPr="003970EC">
        <w:rPr>
          <w:rFonts w:ascii="Times New Roman" w:hAnsi="Times New Roman" w:cs="Times New Roman"/>
          <w:sz w:val="24"/>
          <w:szCs w:val="24"/>
        </w:rPr>
        <w:t xml:space="preserve"> клинических, лаборатор</w:t>
      </w:r>
      <w:r>
        <w:rPr>
          <w:rFonts w:ascii="Times New Roman" w:hAnsi="Times New Roman" w:cs="Times New Roman"/>
          <w:sz w:val="24"/>
          <w:szCs w:val="24"/>
        </w:rPr>
        <w:t xml:space="preserve">ных и гигиенических исследований, которые </w:t>
      </w:r>
      <w:r w:rsidR="00034736" w:rsidRPr="003970EC">
        <w:rPr>
          <w:rFonts w:ascii="Times New Roman" w:hAnsi="Times New Roman" w:cs="Times New Roman"/>
          <w:sz w:val="24"/>
          <w:szCs w:val="24"/>
        </w:rPr>
        <w:t xml:space="preserve"> свидетельствуют  об эффективности использования минералотерапии в комплексном лечении   хронического генерализованного катарального гингивита, что подтверждено существенным улучшением клинического состояния тканей маргин</w:t>
      </w:r>
      <w:r w:rsidR="00560436">
        <w:rPr>
          <w:rFonts w:ascii="Times New Roman" w:hAnsi="Times New Roman" w:cs="Times New Roman"/>
          <w:sz w:val="24"/>
          <w:szCs w:val="24"/>
        </w:rPr>
        <w:t>ального пародонта,  достоверным  повышением</w:t>
      </w:r>
      <w:r w:rsidR="00034736" w:rsidRPr="003970EC">
        <w:rPr>
          <w:rFonts w:ascii="Times New Roman" w:hAnsi="Times New Roman" w:cs="Times New Roman"/>
          <w:sz w:val="24"/>
          <w:szCs w:val="24"/>
        </w:rPr>
        <w:t xml:space="preserve"> скоро</w:t>
      </w:r>
      <w:r w:rsidR="00560436">
        <w:rPr>
          <w:rFonts w:ascii="Times New Roman" w:hAnsi="Times New Roman" w:cs="Times New Roman"/>
          <w:sz w:val="24"/>
          <w:szCs w:val="24"/>
        </w:rPr>
        <w:t>сти слюноотделения, нормализацией</w:t>
      </w:r>
      <w:r w:rsidR="00034736" w:rsidRPr="003970EC">
        <w:rPr>
          <w:rFonts w:ascii="Times New Roman" w:hAnsi="Times New Roman" w:cs="Times New Roman"/>
          <w:sz w:val="24"/>
          <w:szCs w:val="24"/>
        </w:rPr>
        <w:t xml:space="preserve"> показателей  концентрации водородных ионов и минерализующей функции  слюны,  а также положительной динамикой биохимических  параметров  местного иммунитета полости рта.  </w:t>
      </w:r>
    </w:p>
    <w:p w:rsidR="00034736" w:rsidRPr="009444D8" w:rsidRDefault="009444D8" w:rsidP="009444D8">
      <w:pPr>
        <w:spacing w:after="0" w:line="360" w:lineRule="auto"/>
        <w:ind w:firstLine="709"/>
        <w:jc w:val="center"/>
        <w:rPr>
          <w:rFonts w:ascii="Times New Roman" w:hAnsi="Times New Roman" w:cs="Times New Roman"/>
          <w:b/>
          <w:bCs/>
          <w:sz w:val="24"/>
          <w:szCs w:val="24"/>
        </w:rPr>
      </w:pPr>
      <w:r w:rsidRPr="009444D8">
        <w:rPr>
          <w:rFonts w:ascii="Times New Roman" w:hAnsi="Times New Roman" w:cs="Times New Roman"/>
          <w:b/>
          <w:bCs/>
          <w:sz w:val="24"/>
          <w:szCs w:val="24"/>
        </w:rPr>
        <w:t>Список литературы</w:t>
      </w:r>
    </w:p>
    <w:p w:rsidR="00034736" w:rsidRPr="009444D8" w:rsidRDefault="00034736" w:rsidP="007F2CEA">
      <w:pPr>
        <w:numPr>
          <w:ilvl w:val="0"/>
          <w:numId w:val="8"/>
        </w:numPr>
        <w:tabs>
          <w:tab w:val="clear" w:pos="1894"/>
          <w:tab w:val="num" w:pos="0"/>
        </w:tabs>
        <w:spacing w:after="0" w:line="360" w:lineRule="auto"/>
        <w:ind w:left="0" w:firstLine="0"/>
        <w:jc w:val="both"/>
        <w:rPr>
          <w:rFonts w:ascii="Times New Roman" w:hAnsi="Times New Roman" w:cs="Times New Roman"/>
          <w:sz w:val="24"/>
          <w:szCs w:val="24"/>
        </w:rPr>
      </w:pPr>
      <w:r w:rsidRPr="009444D8">
        <w:rPr>
          <w:rFonts w:ascii="Times New Roman" w:hAnsi="Times New Roman" w:cs="Times New Roman"/>
          <w:sz w:val="24"/>
          <w:szCs w:val="24"/>
        </w:rPr>
        <w:t xml:space="preserve">Баранников В.Г., Черешнев В.А., </w:t>
      </w:r>
      <w:r w:rsidR="007706D4" w:rsidRPr="009444D8">
        <w:rPr>
          <w:rFonts w:ascii="Times New Roman" w:hAnsi="Times New Roman" w:cs="Times New Roman"/>
          <w:sz w:val="24"/>
          <w:szCs w:val="24"/>
        </w:rPr>
        <w:t xml:space="preserve">Кириченко Л.В. </w:t>
      </w:r>
      <w:r w:rsidRPr="009444D8">
        <w:rPr>
          <w:rFonts w:ascii="Times New Roman" w:hAnsi="Times New Roman" w:cs="Times New Roman"/>
          <w:sz w:val="24"/>
          <w:szCs w:val="24"/>
        </w:rPr>
        <w:t>Физиолого-гигиеническая концепция спелео- и солелечения. Екатеринбу</w:t>
      </w:r>
      <w:r w:rsidR="00A645C0" w:rsidRPr="009444D8">
        <w:rPr>
          <w:rFonts w:ascii="Times New Roman" w:hAnsi="Times New Roman" w:cs="Times New Roman"/>
          <w:sz w:val="24"/>
          <w:szCs w:val="24"/>
        </w:rPr>
        <w:t>рг: РИО УрО РАН, 2013.  203 с.</w:t>
      </w:r>
      <w:r w:rsidRPr="009444D8">
        <w:rPr>
          <w:rFonts w:ascii="Times New Roman" w:hAnsi="Times New Roman" w:cs="Times New Roman"/>
          <w:sz w:val="24"/>
          <w:szCs w:val="24"/>
        </w:rPr>
        <w:t xml:space="preserve"> </w:t>
      </w:r>
    </w:p>
    <w:p w:rsidR="00034736" w:rsidRPr="009444D8" w:rsidRDefault="00034736" w:rsidP="009444D8">
      <w:pPr>
        <w:numPr>
          <w:ilvl w:val="0"/>
          <w:numId w:val="8"/>
        </w:numPr>
        <w:tabs>
          <w:tab w:val="clear" w:pos="1894"/>
          <w:tab w:val="num" w:pos="0"/>
        </w:tabs>
        <w:spacing w:after="0" w:line="360" w:lineRule="auto"/>
        <w:ind w:left="0" w:firstLine="0"/>
        <w:jc w:val="both"/>
        <w:rPr>
          <w:rFonts w:ascii="Times New Roman" w:hAnsi="Times New Roman" w:cs="Times New Roman"/>
          <w:sz w:val="24"/>
          <w:szCs w:val="24"/>
        </w:rPr>
      </w:pPr>
      <w:r w:rsidRPr="009444D8">
        <w:rPr>
          <w:rFonts w:ascii="Times New Roman" w:hAnsi="Times New Roman" w:cs="Times New Roman"/>
          <w:sz w:val="24"/>
          <w:szCs w:val="24"/>
        </w:rPr>
        <w:t>Вавилова, Т.П. Биохимия тканей и жидкостей полости рта: учебное пособие/ Т.П. Вавилова. – М.: ГЭОТАР-Медиа, 2008. – 208 с.: ил.</w:t>
      </w:r>
    </w:p>
    <w:p w:rsidR="00034736" w:rsidRPr="009444D8" w:rsidRDefault="00034736" w:rsidP="009444D8">
      <w:pPr>
        <w:numPr>
          <w:ilvl w:val="0"/>
          <w:numId w:val="8"/>
        </w:numPr>
        <w:tabs>
          <w:tab w:val="clear" w:pos="1894"/>
          <w:tab w:val="num" w:pos="0"/>
        </w:tabs>
        <w:spacing w:after="0" w:line="360" w:lineRule="auto"/>
        <w:ind w:left="0" w:firstLine="0"/>
        <w:jc w:val="both"/>
        <w:rPr>
          <w:rFonts w:ascii="Times New Roman" w:hAnsi="Times New Roman" w:cs="Times New Roman"/>
          <w:sz w:val="24"/>
          <w:szCs w:val="24"/>
        </w:rPr>
      </w:pPr>
      <w:r w:rsidRPr="009444D8">
        <w:rPr>
          <w:rFonts w:ascii="Times New Roman" w:hAnsi="Times New Roman" w:cs="Times New Roman"/>
          <w:sz w:val="24"/>
          <w:szCs w:val="24"/>
        </w:rPr>
        <w:t>Вершинина И.Г. Клинико-лабораторная оценка эффективности лечения и профилактики стоматологических заболеваний у курсантов военного института: Автореф. дис. … канд.мед. наук. Пермь 2009; 23.</w:t>
      </w:r>
    </w:p>
    <w:p w:rsidR="00034736" w:rsidRPr="009444D8" w:rsidRDefault="00034736" w:rsidP="009444D8">
      <w:pPr>
        <w:numPr>
          <w:ilvl w:val="0"/>
          <w:numId w:val="8"/>
        </w:numPr>
        <w:tabs>
          <w:tab w:val="clear" w:pos="1894"/>
          <w:tab w:val="num" w:pos="0"/>
        </w:tabs>
        <w:spacing w:after="0" w:line="360" w:lineRule="auto"/>
        <w:ind w:left="0" w:firstLine="0"/>
        <w:jc w:val="both"/>
        <w:rPr>
          <w:rFonts w:ascii="Times New Roman" w:hAnsi="Times New Roman" w:cs="Times New Roman"/>
          <w:sz w:val="24"/>
          <w:szCs w:val="24"/>
        </w:rPr>
      </w:pPr>
      <w:r w:rsidRPr="009444D8">
        <w:rPr>
          <w:rFonts w:ascii="Times New Roman" w:hAnsi="Times New Roman" w:cs="Times New Roman"/>
          <w:sz w:val="24"/>
          <w:szCs w:val="24"/>
        </w:rPr>
        <w:t>Дунязина, Т.М. Современные методы диагностики заболеваний пародонта. Методические рекомендации./ Т.М. Дунязина, Н.М. Калинина, И.Д. Никифорова – СПб., 2001 – 46с.</w:t>
      </w:r>
    </w:p>
    <w:p w:rsidR="00034736" w:rsidRPr="009444D8" w:rsidRDefault="00034736" w:rsidP="009444D8">
      <w:pPr>
        <w:numPr>
          <w:ilvl w:val="0"/>
          <w:numId w:val="8"/>
        </w:numPr>
        <w:tabs>
          <w:tab w:val="clear" w:pos="1894"/>
          <w:tab w:val="num" w:pos="0"/>
        </w:tabs>
        <w:spacing w:after="0" w:line="360" w:lineRule="auto"/>
        <w:ind w:left="0" w:firstLine="0"/>
        <w:jc w:val="both"/>
        <w:rPr>
          <w:rFonts w:ascii="Times New Roman" w:hAnsi="Times New Roman" w:cs="Times New Roman"/>
          <w:sz w:val="24"/>
          <w:szCs w:val="24"/>
        </w:rPr>
      </w:pPr>
      <w:r w:rsidRPr="009444D8">
        <w:rPr>
          <w:rFonts w:ascii="Times New Roman" w:hAnsi="Times New Roman" w:cs="Times New Roman"/>
          <w:sz w:val="24"/>
          <w:szCs w:val="24"/>
        </w:rPr>
        <w:t>Кисельникова Л.П. Влияние зубных паст на биохимические параметры смешанной слюны// Институт Стоматологии, 2008, № 4.- 88-91с.</w:t>
      </w:r>
    </w:p>
    <w:p w:rsidR="00034736" w:rsidRPr="009444D8" w:rsidRDefault="00034736" w:rsidP="009444D8">
      <w:pPr>
        <w:numPr>
          <w:ilvl w:val="0"/>
          <w:numId w:val="8"/>
        </w:numPr>
        <w:tabs>
          <w:tab w:val="clear" w:pos="1894"/>
          <w:tab w:val="num" w:pos="0"/>
        </w:tabs>
        <w:spacing w:after="0" w:line="360" w:lineRule="auto"/>
        <w:ind w:left="0" w:firstLine="0"/>
        <w:jc w:val="both"/>
        <w:rPr>
          <w:rFonts w:ascii="Times New Roman" w:hAnsi="Times New Roman" w:cs="Times New Roman"/>
          <w:sz w:val="24"/>
          <w:szCs w:val="24"/>
        </w:rPr>
      </w:pPr>
      <w:r w:rsidRPr="009444D8">
        <w:rPr>
          <w:rFonts w:ascii="Times New Roman" w:hAnsi="Times New Roman" w:cs="Times New Roman"/>
          <w:sz w:val="24"/>
          <w:szCs w:val="24"/>
        </w:rPr>
        <w:t>Комарова Л.Г., Алексеева О.П. Саливалогия.- Н.Новгород: Издательство НГМА, 2006.- 180 с.</w:t>
      </w:r>
    </w:p>
    <w:p w:rsidR="007706D4" w:rsidRPr="009444D8" w:rsidRDefault="007706D4" w:rsidP="009444D8">
      <w:pPr>
        <w:numPr>
          <w:ilvl w:val="0"/>
          <w:numId w:val="8"/>
        </w:numPr>
        <w:tabs>
          <w:tab w:val="clear" w:pos="1894"/>
          <w:tab w:val="num" w:pos="0"/>
        </w:tabs>
        <w:spacing w:after="0" w:line="360" w:lineRule="auto"/>
        <w:ind w:left="0" w:firstLine="0"/>
        <w:jc w:val="both"/>
        <w:rPr>
          <w:rFonts w:ascii="Times New Roman" w:hAnsi="Times New Roman" w:cs="Times New Roman"/>
          <w:sz w:val="24"/>
          <w:szCs w:val="24"/>
        </w:rPr>
      </w:pPr>
      <w:r w:rsidRPr="009444D8">
        <w:rPr>
          <w:rFonts w:ascii="Times New Roman" w:hAnsi="Times New Roman" w:cs="Times New Roman"/>
          <w:sz w:val="24"/>
          <w:szCs w:val="24"/>
        </w:rPr>
        <w:t>Патент РФ №</w:t>
      </w:r>
      <w:r w:rsidR="00FB5E55" w:rsidRPr="009444D8">
        <w:rPr>
          <w:rFonts w:ascii="Times New Roman" w:hAnsi="Times New Roman" w:cs="Times New Roman"/>
          <w:sz w:val="24"/>
          <w:szCs w:val="24"/>
        </w:rPr>
        <w:t>2014105820/14, 17.02.2014</w:t>
      </w:r>
    </w:p>
    <w:p w:rsidR="007706D4" w:rsidRPr="009444D8" w:rsidRDefault="007706D4" w:rsidP="009444D8">
      <w:pPr>
        <w:spacing w:after="0" w:line="360" w:lineRule="auto"/>
        <w:jc w:val="both"/>
        <w:rPr>
          <w:rFonts w:ascii="Times New Roman" w:hAnsi="Times New Roman" w:cs="Times New Roman"/>
          <w:sz w:val="24"/>
          <w:szCs w:val="24"/>
        </w:rPr>
      </w:pPr>
      <w:r w:rsidRPr="009444D8">
        <w:rPr>
          <w:rFonts w:ascii="Times New Roman" w:hAnsi="Times New Roman" w:cs="Times New Roman"/>
          <w:sz w:val="24"/>
          <w:szCs w:val="24"/>
        </w:rPr>
        <w:lastRenderedPageBreak/>
        <w:t xml:space="preserve">Баранников В.Г., Кириченко Л.В., Черешнев </w:t>
      </w:r>
      <w:r w:rsidR="00FB5E55" w:rsidRPr="009444D8">
        <w:rPr>
          <w:rFonts w:ascii="Times New Roman" w:hAnsi="Times New Roman" w:cs="Times New Roman"/>
          <w:sz w:val="24"/>
          <w:szCs w:val="24"/>
        </w:rPr>
        <w:t>В.А.</w:t>
      </w:r>
      <w:r w:rsidRPr="009444D8">
        <w:rPr>
          <w:rFonts w:ascii="Times New Roman" w:hAnsi="Times New Roman" w:cs="Times New Roman"/>
          <w:sz w:val="24"/>
          <w:szCs w:val="24"/>
        </w:rPr>
        <w:t xml:space="preserve">, Леонова </w:t>
      </w:r>
      <w:r w:rsidR="00FB5E55" w:rsidRPr="009444D8">
        <w:rPr>
          <w:rFonts w:ascii="Times New Roman" w:hAnsi="Times New Roman" w:cs="Times New Roman"/>
          <w:sz w:val="24"/>
          <w:szCs w:val="24"/>
        </w:rPr>
        <w:t>Л.Е.</w:t>
      </w:r>
      <w:r w:rsidRPr="009444D8">
        <w:rPr>
          <w:rFonts w:ascii="Times New Roman" w:hAnsi="Times New Roman" w:cs="Times New Roman"/>
          <w:sz w:val="24"/>
          <w:szCs w:val="24"/>
        </w:rPr>
        <w:t xml:space="preserve">, Омарова </w:t>
      </w:r>
      <w:r w:rsidR="00FB5E55" w:rsidRPr="009444D8">
        <w:rPr>
          <w:rFonts w:ascii="Times New Roman" w:hAnsi="Times New Roman" w:cs="Times New Roman"/>
          <w:sz w:val="24"/>
          <w:szCs w:val="24"/>
        </w:rPr>
        <w:t>Л.В.</w:t>
      </w:r>
      <w:r w:rsidRPr="009444D8">
        <w:rPr>
          <w:rFonts w:ascii="Times New Roman" w:hAnsi="Times New Roman" w:cs="Times New Roman"/>
          <w:sz w:val="24"/>
          <w:szCs w:val="24"/>
        </w:rPr>
        <w:t xml:space="preserve">, Дементьев </w:t>
      </w:r>
      <w:r w:rsidR="00FB5E55" w:rsidRPr="009444D8">
        <w:rPr>
          <w:rFonts w:ascii="Times New Roman" w:hAnsi="Times New Roman" w:cs="Times New Roman"/>
          <w:sz w:val="24"/>
          <w:szCs w:val="24"/>
        </w:rPr>
        <w:t>С.В.</w:t>
      </w:r>
      <w:r w:rsidRPr="009444D8">
        <w:rPr>
          <w:rFonts w:ascii="Times New Roman" w:hAnsi="Times New Roman" w:cs="Times New Roman"/>
          <w:sz w:val="24"/>
          <w:szCs w:val="24"/>
        </w:rPr>
        <w:t>, Варанкина</w:t>
      </w:r>
      <w:r w:rsidR="00FB5E55" w:rsidRPr="009444D8">
        <w:rPr>
          <w:rFonts w:ascii="Times New Roman" w:hAnsi="Times New Roman" w:cs="Times New Roman"/>
          <w:sz w:val="24"/>
          <w:szCs w:val="24"/>
        </w:rPr>
        <w:t xml:space="preserve"> С.А.</w:t>
      </w:r>
      <w:r w:rsidRPr="009444D8">
        <w:rPr>
          <w:rFonts w:ascii="Times New Roman" w:hAnsi="Times New Roman" w:cs="Times New Roman"/>
          <w:sz w:val="24"/>
          <w:szCs w:val="24"/>
        </w:rPr>
        <w:t xml:space="preserve">, Хохрякова </w:t>
      </w:r>
      <w:r w:rsidR="00FB5E55" w:rsidRPr="009444D8">
        <w:rPr>
          <w:rFonts w:ascii="Times New Roman" w:hAnsi="Times New Roman" w:cs="Times New Roman"/>
          <w:sz w:val="24"/>
          <w:szCs w:val="24"/>
        </w:rPr>
        <w:t>В.П. Сильвинитовое физиотерапевтическое помещение №146206. 2014. Бюл. №28</w:t>
      </w:r>
    </w:p>
    <w:p w:rsidR="006B51E9" w:rsidRPr="003970EC" w:rsidRDefault="006B51E9" w:rsidP="00673E12">
      <w:pPr>
        <w:spacing w:after="0" w:line="360" w:lineRule="auto"/>
        <w:ind w:firstLine="709"/>
        <w:jc w:val="both"/>
        <w:rPr>
          <w:rFonts w:ascii="Times New Roman" w:hAnsi="Times New Roman" w:cs="Times New Roman"/>
          <w:sz w:val="24"/>
          <w:szCs w:val="24"/>
        </w:rPr>
      </w:pPr>
    </w:p>
    <w:p w:rsidR="00B024D9" w:rsidRPr="00BE3F46" w:rsidRDefault="00E8385E" w:rsidP="00BE3F46">
      <w:pPr>
        <w:spacing w:after="0" w:line="360" w:lineRule="auto"/>
        <w:ind w:left="357"/>
        <w:jc w:val="both"/>
        <w:rPr>
          <w:rFonts w:ascii="Times New Roman" w:hAnsi="Times New Roman" w:cs="Times New Roman"/>
          <w:sz w:val="24"/>
          <w:szCs w:val="24"/>
          <w:lang w:val="en-US"/>
        </w:rPr>
      </w:pPr>
      <w:r>
        <w:rPr>
          <w:rFonts w:ascii="Times New Roman" w:hAnsi="Times New Roman" w:cs="Times New Roman"/>
          <w:sz w:val="24"/>
          <w:szCs w:val="24"/>
        </w:rPr>
        <w:t xml:space="preserve"> </w:t>
      </w:r>
    </w:p>
    <w:sectPr w:rsidR="00B024D9" w:rsidRPr="00BE3F46" w:rsidSect="003970E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B736AD3"/>
    <w:multiLevelType w:val="hybridMultilevel"/>
    <w:tmpl w:val="BAD4FFE6"/>
    <w:lvl w:ilvl="0" w:tplc="FFFFFFFF">
      <w:start w:val="1"/>
      <w:numFmt w:val="decimal"/>
      <w:lvlText w:val="%1."/>
      <w:lvlJc w:val="left"/>
      <w:pPr>
        <w:tabs>
          <w:tab w:val="num" w:pos="1855"/>
        </w:tabs>
        <w:ind w:left="1855"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2" w15:restartNumberingAfterBreak="0">
    <w:nsid w:val="1179106F"/>
    <w:multiLevelType w:val="hybridMultilevel"/>
    <w:tmpl w:val="363CF886"/>
    <w:lvl w:ilvl="0" w:tplc="987657F0">
      <w:start w:val="1"/>
      <w:numFmt w:val="decimal"/>
      <w:lvlText w:val="%1."/>
      <w:lvlJc w:val="left"/>
      <w:pPr>
        <w:tabs>
          <w:tab w:val="num" w:pos="1894"/>
        </w:tabs>
        <w:ind w:left="1894" w:hanging="118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1D370373"/>
    <w:multiLevelType w:val="hybridMultilevel"/>
    <w:tmpl w:val="052CA212"/>
    <w:lvl w:ilvl="0" w:tplc="0419000F">
      <w:start w:val="1"/>
      <w:numFmt w:val="decimal"/>
      <w:lvlText w:val="%1."/>
      <w:lvlJc w:val="left"/>
      <w:pPr>
        <w:ind w:left="360" w:hanging="360"/>
      </w:pPr>
      <w:rPr>
        <w:rFonts w:cs="Times New Roman"/>
      </w:rPr>
    </w:lvl>
    <w:lvl w:ilvl="1" w:tplc="04190019">
      <w:start w:val="1"/>
      <w:numFmt w:val="lowerLetter"/>
      <w:lvlText w:val="%2."/>
      <w:lvlJc w:val="left"/>
      <w:pPr>
        <w:ind w:left="2340" w:hanging="360"/>
      </w:pPr>
      <w:rPr>
        <w:rFonts w:cs="Times New Roman"/>
      </w:rPr>
    </w:lvl>
    <w:lvl w:ilvl="2" w:tplc="0419001B">
      <w:start w:val="1"/>
      <w:numFmt w:val="lowerRoman"/>
      <w:lvlText w:val="%3."/>
      <w:lvlJc w:val="right"/>
      <w:pPr>
        <w:ind w:left="3060" w:hanging="180"/>
      </w:pPr>
      <w:rPr>
        <w:rFonts w:cs="Times New Roman"/>
      </w:rPr>
    </w:lvl>
    <w:lvl w:ilvl="3" w:tplc="0419000F">
      <w:start w:val="1"/>
      <w:numFmt w:val="decimal"/>
      <w:lvlText w:val="%4."/>
      <w:lvlJc w:val="left"/>
      <w:pPr>
        <w:ind w:left="3780" w:hanging="360"/>
      </w:pPr>
      <w:rPr>
        <w:rFonts w:cs="Times New Roman"/>
      </w:rPr>
    </w:lvl>
    <w:lvl w:ilvl="4" w:tplc="04190019">
      <w:start w:val="1"/>
      <w:numFmt w:val="lowerLetter"/>
      <w:lvlText w:val="%5."/>
      <w:lvlJc w:val="left"/>
      <w:pPr>
        <w:ind w:left="4500" w:hanging="360"/>
      </w:pPr>
      <w:rPr>
        <w:rFonts w:cs="Times New Roman"/>
      </w:rPr>
    </w:lvl>
    <w:lvl w:ilvl="5" w:tplc="0419001B">
      <w:start w:val="1"/>
      <w:numFmt w:val="lowerRoman"/>
      <w:lvlText w:val="%6."/>
      <w:lvlJc w:val="right"/>
      <w:pPr>
        <w:ind w:left="5220" w:hanging="180"/>
      </w:pPr>
      <w:rPr>
        <w:rFonts w:cs="Times New Roman"/>
      </w:rPr>
    </w:lvl>
    <w:lvl w:ilvl="6" w:tplc="0419000F">
      <w:start w:val="1"/>
      <w:numFmt w:val="decimal"/>
      <w:lvlText w:val="%7."/>
      <w:lvlJc w:val="left"/>
      <w:pPr>
        <w:ind w:left="5940" w:hanging="360"/>
      </w:pPr>
      <w:rPr>
        <w:rFonts w:cs="Times New Roman"/>
      </w:rPr>
    </w:lvl>
    <w:lvl w:ilvl="7" w:tplc="04190019">
      <w:start w:val="1"/>
      <w:numFmt w:val="lowerLetter"/>
      <w:lvlText w:val="%8."/>
      <w:lvlJc w:val="left"/>
      <w:pPr>
        <w:ind w:left="6660" w:hanging="360"/>
      </w:pPr>
      <w:rPr>
        <w:rFonts w:cs="Times New Roman"/>
      </w:rPr>
    </w:lvl>
    <w:lvl w:ilvl="8" w:tplc="0419001B">
      <w:start w:val="1"/>
      <w:numFmt w:val="lowerRoman"/>
      <w:lvlText w:val="%9."/>
      <w:lvlJc w:val="right"/>
      <w:pPr>
        <w:ind w:left="7380" w:hanging="180"/>
      </w:pPr>
      <w:rPr>
        <w:rFonts w:cs="Times New Roman"/>
      </w:rPr>
    </w:lvl>
  </w:abstractNum>
  <w:abstractNum w:abstractNumId="4" w15:restartNumberingAfterBreak="0">
    <w:nsid w:val="5D361ECA"/>
    <w:multiLevelType w:val="hybridMultilevel"/>
    <w:tmpl w:val="5C583202"/>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5F9E73CE"/>
    <w:multiLevelType w:val="hybridMultilevel"/>
    <w:tmpl w:val="FBF48692"/>
    <w:lvl w:ilvl="0" w:tplc="987657F0">
      <w:start w:val="1"/>
      <w:numFmt w:val="decimal"/>
      <w:lvlText w:val="%1."/>
      <w:lvlJc w:val="left"/>
      <w:pPr>
        <w:tabs>
          <w:tab w:val="num" w:pos="1894"/>
        </w:tabs>
        <w:ind w:left="1894" w:hanging="118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610E1ED1"/>
    <w:multiLevelType w:val="hybridMultilevel"/>
    <w:tmpl w:val="D82E1E56"/>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65746A50"/>
    <w:multiLevelType w:val="hybridMultilevel"/>
    <w:tmpl w:val="BBAC4394"/>
    <w:lvl w:ilvl="0" w:tplc="987657F0">
      <w:start w:val="1"/>
      <w:numFmt w:val="decimal"/>
      <w:lvlText w:val="%1."/>
      <w:lvlJc w:val="left"/>
      <w:pPr>
        <w:tabs>
          <w:tab w:val="num" w:pos="1894"/>
        </w:tabs>
        <w:ind w:left="1894" w:hanging="118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78657A5F"/>
    <w:multiLevelType w:val="hybridMultilevel"/>
    <w:tmpl w:val="D3D8967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7BE43A80"/>
    <w:multiLevelType w:val="hybridMultilevel"/>
    <w:tmpl w:val="1AB02B34"/>
    <w:lvl w:ilvl="0" w:tplc="987657F0">
      <w:start w:val="1"/>
      <w:numFmt w:val="decimal"/>
      <w:lvlText w:val="%1."/>
      <w:lvlJc w:val="left"/>
      <w:pPr>
        <w:tabs>
          <w:tab w:val="num" w:pos="2603"/>
        </w:tabs>
        <w:ind w:left="2603" w:hanging="1185"/>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num w:numId="1">
    <w:abstractNumId w:val="3"/>
  </w:num>
  <w:num w:numId="2">
    <w:abstractNumId w:val="6"/>
  </w:num>
  <w:num w:numId="3">
    <w:abstractNumId w:val="4"/>
  </w:num>
  <w:num w:numId="4">
    <w:abstractNumId w:val="1"/>
  </w:num>
  <w:num w:numId="5">
    <w:abstractNumId w:val="5"/>
  </w:num>
  <w:num w:numId="6">
    <w:abstractNumId w:val="2"/>
  </w:num>
  <w:num w:numId="7">
    <w:abstractNumId w:val="9"/>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118"/>
    <w:rsid w:val="00032F81"/>
    <w:rsid w:val="00034736"/>
    <w:rsid w:val="000370F9"/>
    <w:rsid w:val="000C6AFF"/>
    <w:rsid w:val="00107120"/>
    <w:rsid w:val="00157060"/>
    <w:rsid w:val="001E6A03"/>
    <w:rsid w:val="001F34BD"/>
    <w:rsid w:val="0027491E"/>
    <w:rsid w:val="002C1E41"/>
    <w:rsid w:val="002E314D"/>
    <w:rsid w:val="00311FD6"/>
    <w:rsid w:val="00347027"/>
    <w:rsid w:val="00354C7C"/>
    <w:rsid w:val="00362E43"/>
    <w:rsid w:val="00366A53"/>
    <w:rsid w:val="003970EC"/>
    <w:rsid w:val="003A1509"/>
    <w:rsid w:val="003C3A68"/>
    <w:rsid w:val="00424D4B"/>
    <w:rsid w:val="00453D0B"/>
    <w:rsid w:val="004F43A2"/>
    <w:rsid w:val="004F5693"/>
    <w:rsid w:val="00533118"/>
    <w:rsid w:val="00560436"/>
    <w:rsid w:val="00574B41"/>
    <w:rsid w:val="00581A5C"/>
    <w:rsid w:val="00623174"/>
    <w:rsid w:val="006371EF"/>
    <w:rsid w:val="00673A87"/>
    <w:rsid w:val="00673E12"/>
    <w:rsid w:val="006B51E9"/>
    <w:rsid w:val="006D2AE4"/>
    <w:rsid w:val="006D6952"/>
    <w:rsid w:val="006F033E"/>
    <w:rsid w:val="006F23A0"/>
    <w:rsid w:val="00700D63"/>
    <w:rsid w:val="00732350"/>
    <w:rsid w:val="00742873"/>
    <w:rsid w:val="00757288"/>
    <w:rsid w:val="007706D4"/>
    <w:rsid w:val="0078135E"/>
    <w:rsid w:val="007B1C38"/>
    <w:rsid w:val="007D77C4"/>
    <w:rsid w:val="007F2CEA"/>
    <w:rsid w:val="00886F7C"/>
    <w:rsid w:val="0089717F"/>
    <w:rsid w:val="008A542B"/>
    <w:rsid w:val="008B3F4C"/>
    <w:rsid w:val="009444D8"/>
    <w:rsid w:val="0099469D"/>
    <w:rsid w:val="009A34A1"/>
    <w:rsid w:val="00A11AD4"/>
    <w:rsid w:val="00A2283F"/>
    <w:rsid w:val="00A4569A"/>
    <w:rsid w:val="00A556C2"/>
    <w:rsid w:val="00A6296A"/>
    <w:rsid w:val="00A645C0"/>
    <w:rsid w:val="00A7639F"/>
    <w:rsid w:val="00A81E92"/>
    <w:rsid w:val="00A914A4"/>
    <w:rsid w:val="00AA3241"/>
    <w:rsid w:val="00AA504B"/>
    <w:rsid w:val="00AC5955"/>
    <w:rsid w:val="00AE5BC3"/>
    <w:rsid w:val="00B024D9"/>
    <w:rsid w:val="00B2556F"/>
    <w:rsid w:val="00B36DB5"/>
    <w:rsid w:val="00B553D7"/>
    <w:rsid w:val="00B74C9E"/>
    <w:rsid w:val="00BA5F25"/>
    <w:rsid w:val="00BD2C0E"/>
    <w:rsid w:val="00BE3F46"/>
    <w:rsid w:val="00C86867"/>
    <w:rsid w:val="00CB449A"/>
    <w:rsid w:val="00CC64D8"/>
    <w:rsid w:val="00D04CEA"/>
    <w:rsid w:val="00D26677"/>
    <w:rsid w:val="00D323BB"/>
    <w:rsid w:val="00D50FF5"/>
    <w:rsid w:val="00D51845"/>
    <w:rsid w:val="00D52E5B"/>
    <w:rsid w:val="00D76FCC"/>
    <w:rsid w:val="00D80B95"/>
    <w:rsid w:val="00D95830"/>
    <w:rsid w:val="00DD182D"/>
    <w:rsid w:val="00DE520D"/>
    <w:rsid w:val="00DF3649"/>
    <w:rsid w:val="00E442CC"/>
    <w:rsid w:val="00E46802"/>
    <w:rsid w:val="00E8385E"/>
    <w:rsid w:val="00E96341"/>
    <w:rsid w:val="00EA7779"/>
    <w:rsid w:val="00EB2066"/>
    <w:rsid w:val="00EF124A"/>
    <w:rsid w:val="00F1292B"/>
    <w:rsid w:val="00F34380"/>
    <w:rsid w:val="00F418C2"/>
    <w:rsid w:val="00F67C10"/>
    <w:rsid w:val="00F96B1C"/>
    <w:rsid w:val="00FB5E55"/>
    <w:rsid w:val="00FE0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E3772BF-3561-41FA-8AE6-18026DF7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118"/>
    <w:pPr>
      <w:spacing w:after="200" w:line="276" w:lineRule="auto"/>
    </w:pPr>
    <w:rPr>
      <w:sz w:val="22"/>
      <w:szCs w:val="22"/>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914A4"/>
    <w:pPr>
      <w:ind w:left="720"/>
    </w:pPr>
  </w:style>
  <w:style w:type="table" w:styleId="TableGrid">
    <w:name w:val="Table Grid"/>
    <w:basedOn w:val="TableNormal"/>
    <w:uiPriority w:val="99"/>
    <w:locked/>
    <w:rsid w:val="003970EC"/>
    <w:pPr>
      <w:spacing w:after="200" w:line="276" w:lineRule="auto"/>
    </w:pPr>
    <w:rPr>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73E1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9833611@rambler.ru" TargetMode="External"/><Relationship Id="rId5" Type="http://schemas.openxmlformats.org/officeDocument/2006/relationships/hyperlink" Target="mailto:29833611@rambl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3021</Words>
  <Characters>17223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Оценка влияния сильвинотерапии на физико-химические и биохимические параметры слюны у пациентов с хроническим генерализованным катаральным гингивитом</vt:lpstr>
    </vt:vector>
  </TitlesOfParts>
  <Company>PSMA</Company>
  <LinksUpToDate>false</LinksUpToDate>
  <CharactersWithSpaces>20204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Оценка влияния сильвинотерапии на физико-химические и биохимические параметры слюны у пациентов с хроническим генерализованным катаральным гингивитом</dc:title>
  <dc:subject/>
  <dc:creator>User</dc:creator>
  <cp:keywords/>
  <dc:description/>
  <cp:lastModifiedBy>Vasilii Nikokoshev</cp:lastModifiedBy>
  <cp:revision>2</cp:revision>
  <cp:lastPrinted>2015-02-04T08:05:00Z</cp:lastPrinted>
  <dcterms:created xsi:type="dcterms:W3CDTF">2017-01-30T14:49:00Z</dcterms:created>
  <dcterms:modified xsi:type="dcterms:W3CDTF">2017-01-30T14:49:00Z</dcterms:modified>
</cp:coreProperties>
</file>